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66BC2" w14:textId="44EBC1A3" w:rsidR="0017003A" w:rsidRPr="0017003A" w:rsidRDefault="0017003A" w:rsidP="0017003A">
      <w:pPr>
        <w:widowControl w:val="0"/>
        <w:tabs>
          <w:tab w:val="left" w:pos="1701"/>
          <w:tab w:val="right" w:pos="9923"/>
        </w:tabs>
        <w:autoSpaceDE/>
        <w:autoSpaceDN/>
        <w:adjustRightInd/>
        <w:snapToGrid/>
        <w:spacing w:before="120" w:after="0"/>
        <w:jc w:val="left"/>
        <w:rPr>
          <w:rFonts w:ascii="Arial" w:eastAsia="MS Mincho" w:hAnsi="Arial"/>
          <w:b/>
          <w:sz w:val="24"/>
          <w:lang w:val="en-GB" w:eastAsia="x-none"/>
        </w:rPr>
      </w:pPr>
      <w:r w:rsidRPr="0017003A">
        <w:rPr>
          <w:rFonts w:ascii="Arial" w:eastAsia="MS Mincho" w:hAnsi="Arial"/>
          <w:b/>
          <w:sz w:val="24"/>
          <w:lang w:val="en-GB" w:eastAsia="x-none"/>
        </w:rPr>
        <w:t xml:space="preserve">3GPP TSG RAN WG2 Meeting #105                      </w:t>
      </w:r>
      <w:r w:rsidRPr="0017003A">
        <w:rPr>
          <w:rFonts w:ascii="Arial" w:eastAsia="MS Mincho" w:hAnsi="Arial"/>
          <w:b/>
          <w:sz w:val="24"/>
          <w:lang w:val="en-GB" w:eastAsia="x-none"/>
        </w:rPr>
        <w:tab/>
        <w:t xml:space="preserve">    R2-19</w:t>
      </w:r>
      <w:r w:rsidR="00394FCF">
        <w:rPr>
          <w:rFonts w:ascii="Arial" w:eastAsia="MS Mincho" w:hAnsi="Arial"/>
          <w:b/>
          <w:sz w:val="24"/>
          <w:lang w:val="en-GB" w:eastAsia="x-none"/>
        </w:rPr>
        <w:t>01432</w:t>
      </w:r>
      <w:r w:rsidRPr="0017003A">
        <w:rPr>
          <w:rFonts w:ascii="Arial" w:eastAsia="MS Mincho" w:hAnsi="Arial"/>
          <w:b/>
          <w:sz w:val="24"/>
          <w:lang w:val="en-GB" w:eastAsia="x-none"/>
        </w:rPr>
        <w:t xml:space="preserve"> </w:t>
      </w:r>
    </w:p>
    <w:p w14:paraId="03120934" w14:textId="4D4F596A" w:rsidR="00DA37F9" w:rsidRPr="0017003A" w:rsidRDefault="0017003A" w:rsidP="0017003A">
      <w:pPr>
        <w:widowControl w:val="0"/>
        <w:tabs>
          <w:tab w:val="left" w:pos="1701"/>
          <w:tab w:val="right" w:pos="9923"/>
        </w:tabs>
        <w:autoSpaceDE/>
        <w:autoSpaceDN/>
        <w:adjustRightInd/>
        <w:snapToGrid/>
        <w:spacing w:before="120" w:after="0"/>
        <w:jc w:val="left"/>
        <w:rPr>
          <w:lang w:eastAsia="ja-JP"/>
        </w:rPr>
      </w:pPr>
      <w:r w:rsidRPr="0017003A">
        <w:rPr>
          <w:rFonts w:ascii="Arial" w:eastAsia="MS Mincho" w:hAnsi="Arial"/>
          <w:b/>
          <w:sz w:val="24"/>
          <w:lang w:val="en-GB" w:eastAsia="x-none"/>
        </w:rPr>
        <w:t>Athens, Greece, 25th Feb – 1</w:t>
      </w:r>
      <w:proofErr w:type="gramStart"/>
      <w:r w:rsidRPr="0017003A">
        <w:rPr>
          <w:rFonts w:ascii="Arial" w:eastAsia="MS Mincho" w:hAnsi="Arial"/>
          <w:b/>
          <w:sz w:val="24"/>
          <w:lang w:val="en-GB" w:eastAsia="x-none"/>
        </w:rPr>
        <w:t>st  March</w:t>
      </w:r>
      <w:proofErr w:type="gramEnd"/>
      <w:r w:rsidRPr="0017003A">
        <w:rPr>
          <w:rFonts w:ascii="Arial" w:eastAsia="MS Mincho" w:hAnsi="Arial"/>
          <w:b/>
          <w:sz w:val="24"/>
          <w:lang w:val="en-GB" w:eastAsia="x-none"/>
        </w:rPr>
        <w:t xml:space="preserve"> 2019</w:t>
      </w:r>
      <w:r w:rsidRPr="0017003A">
        <w:rPr>
          <w:rFonts w:ascii="Arial" w:eastAsia="MS Mincho" w:hAnsi="Arial"/>
          <w:b/>
          <w:lang w:val="en-GB" w:eastAsia="x-none"/>
        </w:rPr>
        <w:tab/>
      </w:r>
      <w:r w:rsidRPr="00155013">
        <w:rPr>
          <w:rFonts w:eastAsia="MS Mincho" w:cs="Arial"/>
          <w:sz w:val="24"/>
          <w:szCs w:val="24"/>
        </w:rPr>
        <w:tab/>
      </w:r>
    </w:p>
    <w:p w14:paraId="16A07E69" w14:textId="04C01D56" w:rsidR="00842220" w:rsidRPr="0017003A" w:rsidRDefault="00400E60" w:rsidP="007361AB">
      <w:pPr>
        <w:widowControl w:val="0"/>
        <w:tabs>
          <w:tab w:val="left" w:pos="1701"/>
          <w:tab w:val="right" w:pos="9923"/>
        </w:tabs>
        <w:autoSpaceDE/>
        <w:autoSpaceDN/>
        <w:adjustRightInd/>
        <w:snapToGrid/>
        <w:spacing w:before="120" w:after="0"/>
        <w:jc w:val="left"/>
        <w:rPr>
          <w:rFonts w:ascii="Arial" w:eastAsia="MS Mincho" w:hAnsi="Arial"/>
          <w:lang w:val="en-GB" w:eastAsia="x-none"/>
        </w:rPr>
      </w:pPr>
      <w:r w:rsidRPr="007361AB">
        <w:rPr>
          <w:rFonts w:ascii="Arial" w:eastAsia="MS Mincho" w:hAnsi="Arial"/>
          <w:b/>
          <w:lang w:val="en-GB" w:eastAsia="x-none"/>
        </w:rPr>
        <w:t>Agenda Item:</w:t>
      </w:r>
      <w:r w:rsidRPr="007361AB">
        <w:rPr>
          <w:rFonts w:ascii="Arial" w:eastAsia="MS Mincho" w:hAnsi="Arial"/>
          <w:b/>
          <w:lang w:val="en-GB" w:eastAsia="x-none"/>
        </w:rPr>
        <w:tab/>
      </w:r>
      <w:r w:rsidR="006F5BF7" w:rsidRPr="0017003A">
        <w:rPr>
          <w:rFonts w:ascii="Arial" w:eastAsia="MS Mincho" w:hAnsi="Arial"/>
          <w:lang w:val="en-GB" w:eastAsia="x-none"/>
        </w:rPr>
        <w:t>11.2</w:t>
      </w:r>
      <w:r w:rsidR="00585659" w:rsidRPr="0017003A">
        <w:rPr>
          <w:rFonts w:ascii="Arial" w:eastAsia="MS Mincho" w:hAnsi="Arial"/>
          <w:lang w:val="en-GB" w:eastAsia="x-none"/>
        </w:rPr>
        <w:t>.1.1</w:t>
      </w:r>
    </w:p>
    <w:p w14:paraId="261E303A" w14:textId="7DB1DB71" w:rsidR="00842220" w:rsidRPr="007361AB" w:rsidRDefault="00A64B1F" w:rsidP="007361AB">
      <w:pPr>
        <w:widowControl w:val="0"/>
        <w:tabs>
          <w:tab w:val="left" w:pos="1701"/>
          <w:tab w:val="right" w:pos="9923"/>
        </w:tabs>
        <w:autoSpaceDE/>
        <w:autoSpaceDN/>
        <w:adjustRightInd/>
        <w:snapToGrid/>
        <w:spacing w:before="120" w:after="0"/>
        <w:jc w:val="left"/>
        <w:rPr>
          <w:rFonts w:ascii="Arial" w:eastAsia="MS Mincho" w:hAnsi="Arial"/>
          <w:b/>
          <w:lang w:val="en-GB" w:eastAsia="x-none"/>
        </w:rPr>
      </w:pPr>
      <w:r w:rsidRPr="007361AB">
        <w:rPr>
          <w:rFonts w:ascii="Arial" w:eastAsia="MS Mincho" w:hAnsi="Arial"/>
          <w:b/>
          <w:lang w:val="en-GB" w:eastAsia="x-none"/>
        </w:rPr>
        <w:t>Source:</w:t>
      </w:r>
      <w:r w:rsidRPr="007361AB">
        <w:rPr>
          <w:rFonts w:ascii="Arial" w:eastAsia="MS Mincho" w:hAnsi="Arial"/>
          <w:b/>
          <w:lang w:val="en-GB" w:eastAsia="x-none"/>
        </w:rPr>
        <w:tab/>
      </w:r>
      <w:r w:rsidR="007065E2" w:rsidRPr="0017003A">
        <w:rPr>
          <w:rFonts w:ascii="Arial" w:eastAsia="MS Mincho" w:hAnsi="Arial"/>
          <w:lang w:val="en-GB" w:eastAsia="x-none"/>
        </w:rPr>
        <w:t>Sony</w:t>
      </w:r>
      <w:r w:rsidR="008440B2" w:rsidRPr="0017003A">
        <w:rPr>
          <w:rFonts w:ascii="Arial" w:eastAsia="MS Mincho" w:hAnsi="Arial"/>
          <w:lang w:val="en-GB" w:eastAsia="x-none"/>
        </w:rPr>
        <w:t xml:space="preserve"> </w:t>
      </w:r>
    </w:p>
    <w:p w14:paraId="6F2CEFBE" w14:textId="1F6D781C" w:rsidR="00842220" w:rsidRPr="007361AB" w:rsidRDefault="00842220" w:rsidP="007361AB">
      <w:pPr>
        <w:widowControl w:val="0"/>
        <w:tabs>
          <w:tab w:val="left" w:pos="1701"/>
          <w:tab w:val="right" w:pos="9923"/>
        </w:tabs>
        <w:autoSpaceDE/>
        <w:autoSpaceDN/>
        <w:adjustRightInd/>
        <w:snapToGrid/>
        <w:spacing w:before="120" w:after="0"/>
        <w:jc w:val="left"/>
        <w:rPr>
          <w:rFonts w:ascii="Arial" w:eastAsia="MS Mincho" w:hAnsi="Arial"/>
          <w:b/>
          <w:lang w:val="en-GB" w:eastAsia="x-none"/>
        </w:rPr>
      </w:pPr>
      <w:r w:rsidRPr="007361AB">
        <w:rPr>
          <w:rFonts w:ascii="Arial" w:eastAsia="MS Mincho" w:hAnsi="Arial"/>
          <w:b/>
          <w:lang w:val="en-GB" w:eastAsia="x-none"/>
        </w:rPr>
        <w:t>Title:</w:t>
      </w:r>
      <w:r w:rsidRPr="007361AB">
        <w:rPr>
          <w:rFonts w:ascii="Arial" w:eastAsia="MS Mincho" w:hAnsi="Arial"/>
          <w:b/>
          <w:lang w:val="en-GB" w:eastAsia="x-none"/>
        </w:rPr>
        <w:tab/>
      </w:r>
      <w:r w:rsidR="00CF189E" w:rsidRPr="0017003A">
        <w:rPr>
          <w:rFonts w:ascii="Arial" w:eastAsia="MS Mincho" w:hAnsi="Arial"/>
          <w:lang w:val="en-GB" w:eastAsia="x-none"/>
        </w:rPr>
        <w:t xml:space="preserve">Considerations </w:t>
      </w:r>
      <w:r w:rsidR="00F95BF6" w:rsidRPr="0017003A">
        <w:rPr>
          <w:rFonts w:ascii="Arial" w:eastAsia="MS Mincho" w:hAnsi="Arial"/>
          <w:lang w:val="en-GB" w:eastAsia="x-none"/>
        </w:rPr>
        <w:t>BWP for</w:t>
      </w:r>
      <w:r w:rsidR="00CF189E" w:rsidRPr="0017003A">
        <w:rPr>
          <w:rFonts w:ascii="Arial" w:eastAsia="MS Mincho" w:hAnsi="Arial"/>
          <w:lang w:val="en-GB" w:eastAsia="x-none"/>
        </w:rPr>
        <w:t xml:space="preserve"> initial access for NR unlicensed operations</w:t>
      </w:r>
    </w:p>
    <w:p w14:paraId="29F64196" w14:textId="7AD49D44" w:rsidR="00842220" w:rsidRPr="007361AB" w:rsidRDefault="00842220" w:rsidP="007361AB">
      <w:pPr>
        <w:widowControl w:val="0"/>
        <w:tabs>
          <w:tab w:val="left" w:pos="1701"/>
          <w:tab w:val="right" w:pos="9923"/>
        </w:tabs>
        <w:autoSpaceDE/>
        <w:autoSpaceDN/>
        <w:adjustRightInd/>
        <w:snapToGrid/>
        <w:spacing w:before="120" w:after="0"/>
        <w:jc w:val="left"/>
        <w:rPr>
          <w:rFonts w:ascii="Arial" w:eastAsia="MS Mincho" w:hAnsi="Arial"/>
          <w:b/>
          <w:lang w:val="en-GB" w:eastAsia="x-none"/>
        </w:rPr>
      </w:pPr>
      <w:r w:rsidRPr="007361AB">
        <w:rPr>
          <w:rFonts w:ascii="Arial" w:eastAsia="MS Mincho" w:hAnsi="Arial"/>
          <w:b/>
          <w:lang w:val="en-GB" w:eastAsia="x-none"/>
        </w:rPr>
        <w:t>Document for:</w:t>
      </w:r>
      <w:r w:rsidRPr="007361AB">
        <w:rPr>
          <w:rFonts w:ascii="Arial" w:eastAsia="MS Mincho" w:hAnsi="Arial"/>
          <w:b/>
          <w:lang w:val="en-GB" w:eastAsia="x-none"/>
        </w:rPr>
        <w:tab/>
      </w:r>
      <w:r w:rsidRPr="0017003A">
        <w:rPr>
          <w:rFonts w:ascii="Arial" w:eastAsia="MS Mincho" w:hAnsi="Arial"/>
          <w:lang w:val="en-GB" w:eastAsia="x-none"/>
        </w:rPr>
        <w:t xml:space="preserve">Discussion </w:t>
      </w:r>
      <w:r w:rsidR="002237DE" w:rsidRPr="0017003A">
        <w:rPr>
          <w:rFonts w:ascii="Arial" w:eastAsia="MS Mincho" w:hAnsi="Arial"/>
          <w:lang w:val="en-GB" w:eastAsia="x-none"/>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Heading1"/>
        <w:rPr>
          <w:color w:val="000000" w:themeColor="text1"/>
          <w:lang w:eastAsia="zh-CN"/>
        </w:rPr>
      </w:pPr>
      <w:r w:rsidRPr="005B50B6">
        <w:rPr>
          <w:color w:val="000000" w:themeColor="text1"/>
          <w:lang w:eastAsia="zh-CN"/>
        </w:rPr>
        <w:t>Introduction</w:t>
      </w:r>
    </w:p>
    <w:p w14:paraId="4C453DF2" w14:textId="75A49924" w:rsidR="00DF71FF" w:rsidRDefault="00F95BF6" w:rsidP="00EC0339">
      <w:pPr>
        <w:autoSpaceDE/>
        <w:autoSpaceDN/>
        <w:adjustRightInd/>
        <w:snapToGrid/>
        <w:spacing w:after="0"/>
        <w:rPr>
          <w:rFonts w:cs="Times"/>
          <w:lang w:eastAsia="zh-CN"/>
        </w:rPr>
      </w:pPr>
      <w:r>
        <w:rPr>
          <w:rFonts w:cs="Times"/>
          <w:lang w:eastAsia="zh-CN"/>
        </w:rPr>
        <w:t xml:space="preserve">At RAN plenary #82, the following WID for NR Unlicensed was agreed, </w:t>
      </w:r>
      <w:r w:rsidR="00580B40">
        <w:rPr>
          <w:rFonts w:cs="Times"/>
          <w:lang w:eastAsia="zh-CN"/>
        </w:rPr>
        <w:t>including the following</w:t>
      </w:r>
      <w:r w:rsidR="00DF71FF">
        <w:rPr>
          <w:rFonts w:cs="Times"/>
          <w:lang w:eastAsia="zh-CN"/>
        </w:rPr>
        <w:t xml:space="preserve"> objectives listed below.</w:t>
      </w:r>
    </w:p>
    <w:p w14:paraId="109D24DB" w14:textId="779BA2C6" w:rsidR="00DF71FF" w:rsidRDefault="00DF71FF" w:rsidP="00EC0339">
      <w:pPr>
        <w:autoSpaceDE/>
        <w:autoSpaceDN/>
        <w:adjustRightInd/>
        <w:snapToGrid/>
        <w:spacing w:after="0"/>
        <w:rPr>
          <w:rFonts w:cs="Times"/>
          <w:lang w:eastAsia="zh-CN"/>
        </w:rPr>
      </w:pPr>
    </w:p>
    <w:p w14:paraId="79741FB9" w14:textId="77777777" w:rsidR="00DF71FF" w:rsidRPr="00E036CB" w:rsidRDefault="00DF71FF" w:rsidP="0017003A">
      <w:pPr>
        <w:pStyle w:val="B1"/>
        <w:pBdr>
          <w:top w:val="single" w:sz="4" w:space="1" w:color="auto"/>
          <w:left w:val="single" w:sz="4" w:space="4" w:color="auto"/>
          <w:bottom w:val="single" w:sz="4" w:space="1" w:color="auto"/>
          <w:right w:val="single" w:sz="4" w:space="4" w:color="auto"/>
        </w:pBdr>
        <w:spacing w:before="180"/>
        <w:ind w:left="576" w:hanging="288"/>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6F1FB22" w14:textId="77777777" w:rsidR="00DF71FF" w:rsidRDefault="00DF71FF" w:rsidP="0017003A">
      <w:pPr>
        <w:pStyle w:val="B2"/>
        <w:pBdr>
          <w:top w:val="single" w:sz="4" w:space="1" w:color="auto"/>
          <w:left w:val="single" w:sz="4" w:space="4" w:color="auto"/>
          <w:bottom w:val="single" w:sz="4" w:space="1" w:color="auto"/>
          <w:right w:val="single" w:sz="4" w:space="4" w:color="auto"/>
        </w:pBdr>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3C3C3C2A" w14:textId="77777777" w:rsidR="00DF71FF" w:rsidRDefault="00DF71FF"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UL channels / signals can be operated with the same numerology</w:t>
      </w:r>
      <w:r w:rsidRPr="00594645">
        <w:rPr>
          <w:lang w:eastAsia="ja-JP"/>
        </w:rPr>
        <w:t xml:space="preserve">. </w:t>
      </w:r>
    </w:p>
    <w:p w14:paraId="6DDCF7FD" w14:textId="77777777" w:rsidR="00DF71FF" w:rsidRDefault="00DF71FF"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512291DB" w14:textId="77777777" w:rsidR="00DF71FF" w:rsidRDefault="00DF71FF"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r>
      <w:r w:rsidRPr="0017003A">
        <w:rPr>
          <w:highlight w:val="yellow"/>
          <w:lang w:eastAsia="ja-JP"/>
        </w:rPr>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sidRPr="0017003A">
        <w:rPr>
          <w:highlight w:val="yellow"/>
          <w:lang w:eastAsia="ja-JP"/>
        </w:rPr>
        <w:t>subbands</w:t>
      </w:r>
      <w:proofErr w:type="spellEnd"/>
      <w:r w:rsidRPr="0017003A">
        <w:rPr>
          <w:highlight w:val="yellow"/>
          <w:lang w:eastAsia="ja-JP"/>
        </w:rPr>
        <w:t xml:space="preserve"> within the wideband carrier. For all wide-band operation cases, CCA is performed in units of 20MHz (at least for 5GHz).</w:t>
      </w:r>
    </w:p>
    <w:p w14:paraId="170283E1" w14:textId="77777777" w:rsidR="00580B40" w:rsidRDefault="00580B40" w:rsidP="0017003A">
      <w:pPr>
        <w:pStyle w:val="B2"/>
        <w:pBdr>
          <w:top w:val="single" w:sz="4" w:space="1" w:color="auto"/>
          <w:left w:val="single" w:sz="4" w:space="4" w:color="auto"/>
          <w:bottom w:val="single" w:sz="4" w:space="1" w:color="auto"/>
          <w:right w:val="single" w:sz="4" w:space="4" w:color="auto"/>
        </w:pBdr>
        <w:ind w:hanging="1"/>
        <w:rPr>
          <w:lang w:eastAsia="ja-JP"/>
        </w:rPr>
      </w:pPr>
      <w:r>
        <w:rPr>
          <w:lang w:eastAsia="ja-JP"/>
        </w:rPr>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568A062F"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 xml:space="preserve">to support minimum bandwidth requirement given by regulation. Determine the applicability of Rel-15 NR formats to NR-U </w:t>
      </w:r>
      <w:proofErr w:type="gramStart"/>
      <w:r>
        <w:rPr>
          <w:lang w:eastAsia="ja-JP"/>
        </w:rPr>
        <w:t>operation.</w:t>
      </w:r>
      <w:r w:rsidRPr="007C280F">
        <w:rPr>
          <w:lang w:eastAsia="ja-JP"/>
        </w:rPr>
        <w:t>RAN</w:t>
      </w:r>
      <w:proofErr w:type="gramEnd"/>
      <w:r w:rsidRPr="007C280F">
        <w:rPr>
          <w:lang w:eastAsia="ja-JP"/>
        </w:rPr>
        <w:t>1 should decide whether 60 kHz subcarrier spacing for PRACH is supported, based on a unified design with 15 kHz and 30 kHz PRACH for meeting occupied channel bandwidth (OCB) requirements</w:t>
      </w:r>
      <w:r w:rsidRPr="00224AA9">
        <w:rPr>
          <w:lang w:eastAsia="ja-JP"/>
        </w:rPr>
        <w:t>.</w:t>
      </w:r>
    </w:p>
    <w:p w14:paraId="081C22CD"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w:t>
      </w:r>
      <w:proofErr w:type="gramStart"/>
      <w:r>
        <w:rPr>
          <w:lang w:eastAsia="ja-JP"/>
        </w:rPr>
        <w:t>interlaced  transmission</w:t>
      </w:r>
      <w:proofErr w:type="gramEnd"/>
      <w:r>
        <w:rPr>
          <w:lang w:eastAsia="ja-JP"/>
        </w:rPr>
        <w:t xml:space="preserve"> and use of Rel-15 NR PUCCH formats 2 and 3 for NR-U operation. Applicability of sub-PRB frequency block-interlaced transmission for 60kHz to be decided by RAN1.</w:t>
      </w:r>
    </w:p>
    <w:p w14:paraId="3A6FD143"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60kHz to be decided by RAN1.</w:t>
      </w:r>
      <w:r w:rsidRPr="00A47452">
        <w:rPr>
          <w:lang w:eastAsia="ja-JP"/>
        </w:rPr>
        <w:t xml:space="preserve"> </w:t>
      </w:r>
    </w:p>
    <w:p w14:paraId="6EBBD96B"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SRS including the introduction of additional flexibility in configuring/triggering SRS in line with agreements during the study phase.</w:t>
      </w:r>
    </w:p>
    <w:p w14:paraId="3790D528"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lastRenderedPageBreak/>
        <w:t>-</w:t>
      </w:r>
      <w:r>
        <w:rPr>
          <w:lang w:eastAsia="ja-JP"/>
        </w:rPr>
        <w:tab/>
        <w:t>For DL data channel, support of multiple PDSCH starting positions.</w:t>
      </w:r>
    </w:p>
    <w:p w14:paraId="4A4E3FF7"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 xml:space="preserve">a </w:t>
      </w:r>
      <w:proofErr w:type="spellStart"/>
      <w:r w:rsidRPr="00645A29">
        <w:rPr>
          <w:lang w:eastAsia="ja-JP"/>
        </w:rPr>
        <w:t>gNB</w:t>
      </w:r>
      <w:r>
        <w:rPr>
          <w:lang w:eastAsia="ja-JP"/>
        </w:rPr>
        <w:t>’s</w:t>
      </w:r>
      <w:proofErr w:type="spellEnd"/>
      <w:r w:rsidRPr="00645A29">
        <w:rPr>
          <w:lang w:eastAsia="ja-JP"/>
        </w:rPr>
        <w:t xml:space="preserve"> transmission burst in line with </w:t>
      </w:r>
      <w:bookmarkStart w:id="0" w:name="_Hlk532422148"/>
      <w:r w:rsidRPr="00645A29">
        <w:rPr>
          <w:lang w:eastAsia="ja-JP"/>
        </w:rPr>
        <w:t>the TR 38.889, Section 7.2.1.2</w:t>
      </w:r>
      <w:bookmarkEnd w:id="0"/>
      <w:r>
        <w:rPr>
          <w:lang w:eastAsia="ja-JP"/>
        </w:rPr>
        <w:t xml:space="preserve"> related to UE power consumption</w:t>
      </w:r>
      <w:r w:rsidRPr="00645A29">
        <w:rPr>
          <w:lang w:eastAsia="ja-JP"/>
        </w:rPr>
        <w:t>.</w:t>
      </w:r>
    </w:p>
    <w:p w14:paraId="36F8B7CE"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7EB021D7" w14:textId="77777777" w:rsidR="00580B40" w:rsidRPr="00E036CB" w:rsidRDefault="00580B40" w:rsidP="0017003A">
      <w:pPr>
        <w:pStyle w:val="B1"/>
        <w:pBdr>
          <w:top w:val="single" w:sz="4" w:space="1" w:color="auto"/>
          <w:left w:val="single" w:sz="4" w:space="4" w:color="auto"/>
          <w:bottom w:val="single" w:sz="4" w:space="1" w:color="auto"/>
          <w:right w:val="single" w:sz="4" w:space="4" w:color="auto"/>
        </w:pBdr>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460F244D" w14:textId="77777777" w:rsidR="00580B40" w:rsidRDefault="00580B40" w:rsidP="0017003A">
      <w:pPr>
        <w:pStyle w:val="B2"/>
        <w:pBdr>
          <w:top w:val="single" w:sz="4" w:space="1" w:color="auto"/>
          <w:left w:val="single" w:sz="4" w:space="4" w:color="auto"/>
          <w:bottom w:val="single" w:sz="4" w:space="1" w:color="auto"/>
          <w:right w:val="single" w:sz="4" w:space="4" w:color="auto"/>
        </w:pBdr>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4DF066BA"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1AA1D5B9"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4D90E01D"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 xml:space="preserve">- </w:t>
      </w:r>
      <w:r>
        <w:rPr>
          <w:lang w:eastAsia="ja-JP"/>
        </w:rPr>
        <w:tab/>
      </w:r>
      <w:r w:rsidRPr="0017003A">
        <w:rPr>
          <w:highlight w:val="yellow"/>
          <w:lang w:eastAsia="ja-JP"/>
        </w:rPr>
        <w:t xml:space="preserve">Random access: specify required NR modifications to enhance RACH procedure in line with the agreements during the study phase, including 4-step RACH modifications to handle reduced </w:t>
      </w:r>
      <w:proofErr w:type="spellStart"/>
      <w:r w:rsidRPr="0017003A">
        <w:rPr>
          <w:highlight w:val="yellow"/>
          <w:lang w:eastAsia="ja-JP"/>
        </w:rPr>
        <w:t>Msg</w:t>
      </w:r>
      <w:proofErr w:type="spellEnd"/>
      <w:r w:rsidRPr="0017003A">
        <w:rPr>
          <w:highlight w:val="yellow"/>
          <w:lang w:eastAsia="ja-JP"/>
        </w:rPr>
        <w:t xml:space="preserve"> 1/2/3/4 transmission opportunities due to LBT failure (RAN1/RAN2);</w:t>
      </w:r>
      <w:r>
        <w:rPr>
          <w:lang w:eastAsia="ja-JP"/>
        </w:rPr>
        <w:t xml:space="preserve"> LBT for 2-step RACH and application of PRACH and PUSCH format improvements for NR-U to 2-step RACH</w:t>
      </w:r>
      <w:r w:rsidRPr="00645A29">
        <w:rPr>
          <w:lang w:eastAsia="ja-JP"/>
        </w:rPr>
        <w:t>.</w:t>
      </w:r>
      <w:r>
        <w:rPr>
          <w:lang w:eastAsia="ja-JP"/>
        </w:rPr>
        <w:t xml:space="preserve"> (RAN1 </w:t>
      </w:r>
    </w:p>
    <w:p w14:paraId="49F2A46E"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7C9AFF60"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614409E6"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 xml:space="preserve">- </w:t>
      </w:r>
      <w:r>
        <w:rPr>
          <w:lang w:eastAsia="ja-JP"/>
        </w:rPr>
        <w:tab/>
      </w:r>
      <w:bookmarkStart w:id="1"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1"/>
    </w:p>
    <w:p w14:paraId="0A3C987F"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51B2EEBE"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587DC81D"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6C72D93F" w14:textId="77777777" w:rsidR="00580B40" w:rsidRPr="00C66CCD" w:rsidRDefault="00580B40" w:rsidP="0017003A">
      <w:pPr>
        <w:pStyle w:val="B2"/>
        <w:pBdr>
          <w:top w:val="single" w:sz="4" w:space="1" w:color="auto"/>
          <w:left w:val="single" w:sz="4" w:space="4" w:color="auto"/>
          <w:bottom w:val="single" w:sz="4" w:space="1" w:color="auto"/>
          <w:right w:val="single" w:sz="4" w:space="4" w:color="auto"/>
        </w:pBdr>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0D05487D" w14:textId="77777777" w:rsidR="00580B40" w:rsidRDefault="00580B40" w:rsidP="0017003A">
      <w:pPr>
        <w:pStyle w:val="B1"/>
        <w:pBdr>
          <w:top w:val="single" w:sz="4" w:space="1" w:color="auto"/>
          <w:left w:val="single" w:sz="4" w:space="4" w:color="auto"/>
          <w:bottom w:val="single" w:sz="4" w:space="1" w:color="auto"/>
          <w:right w:val="single" w:sz="4" w:space="4" w:color="auto"/>
        </w:pBdr>
        <w:rPr>
          <w:lang w:eastAsia="ja-JP"/>
        </w:rPr>
      </w:pPr>
      <w:r w:rsidRPr="00E036CB">
        <w:rPr>
          <w:rFonts w:hint="eastAsia"/>
          <w:lang w:eastAsia="ja-JP"/>
        </w:rPr>
        <w:lastRenderedPageBreak/>
        <w:t>-</w:t>
      </w:r>
      <w:r w:rsidRPr="00E036CB">
        <w:rPr>
          <w:rFonts w:hint="eastAsia"/>
          <w:lang w:eastAsia="ja-JP"/>
        </w:rPr>
        <w:tab/>
      </w:r>
      <w:r w:rsidRPr="00E036CB">
        <w:rPr>
          <w:lang w:eastAsia="ja-JP"/>
        </w:rPr>
        <w:t>Radio interface protocol architecture and procedures</w:t>
      </w:r>
      <w:r>
        <w:rPr>
          <w:lang w:eastAsia="ja-JP"/>
        </w:rPr>
        <w:t xml:space="preserve"> (ref. TR 38.889 section 7.2.2)</w:t>
      </w:r>
      <w:r w:rsidRPr="00E036CB">
        <w:rPr>
          <w:lang w:eastAsia="ja-JP"/>
        </w:rPr>
        <w:t xml:space="preserve"> [RAN2]</w:t>
      </w:r>
      <w:r w:rsidRPr="00E036CB">
        <w:rPr>
          <w:rFonts w:hint="eastAsia"/>
          <w:lang w:eastAsia="ja-JP"/>
        </w:rPr>
        <w:t>:</w:t>
      </w:r>
    </w:p>
    <w:p w14:paraId="1EBAADF7"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sidRPr="00E036CB">
        <w:rPr>
          <w:rFonts w:hint="eastAsia"/>
          <w:lang w:eastAsia="ja-JP"/>
        </w:rPr>
        <w:t>-</w:t>
      </w:r>
      <w:r w:rsidRPr="00E036CB">
        <w:rPr>
          <w:rFonts w:hint="eastAsia"/>
          <w:lang w:eastAsia="ja-JP"/>
        </w:rPr>
        <w:tab/>
      </w:r>
      <w:r w:rsidRPr="00201B42">
        <w:rPr>
          <w:lang w:eastAsia="ja-JP"/>
        </w:rPr>
        <w:t>Inactive and Idle mode procedures: Rel-15 NR design is the baseline, including NR licensed measurement framework (cell and beam quality derivation for RSRP, RSRQ, and SINR, filtering and combining multiple beams). Specify necessary extensions for NR-U operation</w:t>
      </w:r>
      <w:r>
        <w:rPr>
          <w:lang w:eastAsia="ja-JP"/>
        </w:rPr>
        <w:t xml:space="preserve"> for cell selection/reselection</w:t>
      </w:r>
      <w:r w:rsidRPr="00201B42">
        <w:rPr>
          <w:lang w:eastAsia="ja-JP"/>
        </w:rPr>
        <w:t>,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w:t>
      </w:r>
      <w:r>
        <w:rPr>
          <w:lang w:eastAsia="ja-JP"/>
        </w:rPr>
        <w:t>; increased opportunities for SI delivery</w:t>
      </w:r>
    </w:p>
    <w:p w14:paraId="7AB0AC4D" w14:textId="77777777" w:rsidR="00580B40" w:rsidRDefault="00580B40" w:rsidP="0017003A">
      <w:pPr>
        <w:pStyle w:val="B2"/>
        <w:pBdr>
          <w:top w:val="single" w:sz="4" w:space="1" w:color="auto"/>
          <w:left w:val="single" w:sz="4" w:space="4" w:color="auto"/>
          <w:bottom w:val="single" w:sz="4" w:space="1" w:color="auto"/>
          <w:right w:val="single" w:sz="4" w:space="4" w:color="auto"/>
        </w:pBdr>
      </w:pPr>
      <w:r>
        <w:rPr>
          <w:lang w:eastAsia="ja-JP"/>
        </w:rPr>
        <w:t>-</w:t>
      </w:r>
      <w:r>
        <w:rPr>
          <w:lang w:eastAsia="ja-JP"/>
        </w:rPr>
        <w:tab/>
        <w:t>Introduction of a</w:t>
      </w:r>
      <w:r w:rsidRPr="0066441F">
        <w:t>ccess priority for control signal</w:t>
      </w:r>
      <w:r>
        <w:t>l</w:t>
      </w:r>
      <w:r w:rsidRPr="0066441F">
        <w:t xml:space="preserve">ing (transmissions over SRBs) over unlicensed carriers </w:t>
      </w:r>
      <w:r>
        <w:t>(</w:t>
      </w:r>
      <w:r w:rsidRPr="0066441F">
        <w:t>highe</w:t>
      </w:r>
      <w:r>
        <w:t>st</w:t>
      </w:r>
      <w:r w:rsidRPr="0066441F">
        <w:t xml:space="preserve"> </w:t>
      </w:r>
      <w:r>
        <w:t xml:space="preserve">access </w:t>
      </w:r>
      <w:r w:rsidRPr="0066441F">
        <w:t>priority</w:t>
      </w:r>
      <w:r>
        <w:t xml:space="preserve">). </w:t>
      </w:r>
    </w:p>
    <w:p w14:paraId="66CF026D" w14:textId="77777777" w:rsidR="00580B40" w:rsidRDefault="00580B40" w:rsidP="0017003A">
      <w:pPr>
        <w:pStyle w:val="B2"/>
        <w:pBdr>
          <w:top w:val="single" w:sz="4" w:space="1" w:color="auto"/>
          <w:left w:val="single" w:sz="4" w:space="4" w:color="auto"/>
          <w:bottom w:val="single" w:sz="4" w:space="1" w:color="auto"/>
          <w:right w:val="single" w:sz="4" w:space="4" w:color="auto"/>
        </w:pBdr>
      </w:pPr>
      <w:r>
        <w:t>-</w:t>
      </w:r>
      <w:r>
        <w:tab/>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w:t>
      </w:r>
      <w:r w:rsidRPr="0059155B">
        <w:t>mobility-related measurement</w:t>
      </w:r>
      <w:r>
        <w:t xml:space="preserve"> reporting for unlicensed operation including channel occupancy indication and RSSI measurements. </w:t>
      </w:r>
    </w:p>
    <w:p w14:paraId="2E9D0490"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Potential enhancements to DRX considering channel access uncertainty.</w:t>
      </w:r>
    </w:p>
    <w:p w14:paraId="58C4D08B"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Paging: specify required NR modifications to enhance paging opportunities by increasing time-domain paging occasions or paging monitoring occasions while taking UE power consumption into account.</w:t>
      </w:r>
    </w:p>
    <w:p w14:paraId="1181423C" w14:textId="77777777" w:rsidR="00580B40" w:rsidRPr="00746FB5" w:rsidRDefault="00580B40" w:rsidP="0017003A">
      <w:pPr>
        <w:pStyle w:val="B2"/>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System information: specify required NR modifications to enhance acquisition of system information in NR-U including increased transmission opportunities in time domain for SI transmission.</w:t>
      </w:r>
    </w:p>
    <w:p w14:paraId="26D6B431" w14:textId="77777777" w:rsidR="00580B40" w:rsidRPr="00E036CB" w:rsidRDefault="00580B40" w:rsidP="0017003A">
      <w:pPr>
        <w:pStyle w:val="B1"/>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 xml:space="preserve">Core specifications for UE, </w:t>
      </w:r>
      <w:proofErr w:type="spellStart"/>
      <w:r>
        <w:rPr>
          <w:lang w:eastAsia="ja-JP"/>
        </w:rPr>
        <w:t>gNB</w:t>
      </w:r>
      <w:proofErr w:type="spellEnd"/>
      <w:r>
        <w:rPr>
          <w:lang w:eastAsia="ja-JP"/>
        </w:rPr>
        <w:t xml:space="preserve"> and RRM requirements [RAN4]: </w:t>
      </w:r>
    </w:p>
    <w:p w14:paraId="15CB7EB7"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ja-JP"/>
        </w:rPr>
      </w:pPr>
      <w:r w:rsidRPr="00E036CB">
        <w:rPr>
          <w:rFonts w:hint="eastAsia"/>
          <w:lang w:eastAsia="ja-JP"/>
        </w:rPr>
        <w:t>-</w:t>
      </w:r>
      <w:r w:rsidRPr="00E036CB">
        <w:rPr>
          <w:rFonts w:hint="eastAsia"/>
          <w:lang w:eastAsia="ja-JP"/>
        </w:rPr>
        <w:tab/>
      </w:r>
      <w:r w:rsidRPr="0074485C">
        <w:rPr>
          <w:lang w:eastAsia="ja-JP"/>
        </w:rPr>
        <w:t>S</w:t>
      </w:r>
      <w:r>
        <w:rPr>
          <w:lang w:eastAsia="ja-JP"/>
        </w:rPr>
        <w:t>pecify new unlicensed band(s) for</w:t>
      </w:r>
      <w:r w:rsidRPr="0074485C">
        <w:rPr>
          <w:lang w:eastAsia="ja-JP"/>
        </w:rPr>
        <w:t xml:space="preserve"> the 5 GHz and 6 GHz frequency range</w:t>
      </w:r>
      <w:r>
        <w:rPr>
          <w:lang w:eastAsia="ja-JP"/>
        </w:rPr>
        <w:t>s</w:t>
      </w:r>
      <w:r w:rsidRPr="0074485C">
        <w:rPr>
          <w:lang w:eastAsia="ja-JP"/>
        </w:rPr>
        <w:t xml:space="preserve"> (see Note 1). The band(s) definition should include DL only and UL/DL operation.</w:t>
      </w:r>
    </w:p>
    <w:p w14:paraId="3AC8EDD3"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val="en-US"/>
        </w:rPr>
      </w:pPr>
      <w:r>
        <w:rPr>
          <w:lang w:eastAsia="ja-JP"/>
        </w:rPr>
        <w:t>-</w:t>
      </w:r>
      <w:r>
        <w:rPr>
          <w:lang w:eastAsia="ja-JP"/>
        </w:rPr>
        <w:tab/>
        <w:t xml:space="preserve">Specify </w:t>
      </w:r>
      <w:proofErr w:type="spellStart"/>
      <w:r>
        <w:rPr>
          <w:lang w:eastAsia="zh-CN"/>
        </w:rPr>
        <w:t>gNB</w:t>
      </w:r>
      <w:proofErr w:type="spellEnd"/>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w:t>
      </w:r>
      <w:proofErr w:type="gramStart"/>
      <w:r>
        <w:rPr>
          <w:lang w:eastAsia="zh-CN"/>
        </w:rPr>
        <w:t xml:space="preserve">range, </w:t>
      </w:r>
      <w:r w:rsidRPr="00EC3726">
        <w:rPr>
          <w:lang w:eastAsia="zh-CN"/>
        </w:rPr>
        <w:t xml:space="preserve"> including</w:t>
      </w:r>
      <w:proofErr w:type="gramEnd"/>
      <w:r w:rsidRPr="00EC3726">
        <w:rPr>
          <w:lang w:eastAsia="zh-CN"/>
        </w:rPr>
        <w:t xml:space="preserve"> </w:t>
      </w:r>
      <w:r w:rsidRPr="00EC3726">
        <w:rPr>
          <w:lang w:val="en-US"/>
        </w:rPr>
        <w:t>a limited set of example band combinations</w:t>
      </w:r>
      <w:r>
        <w:rPr>
          <w:lang w:val="en-US"/>
        </w:rPr>
        <w:t xml:space="preserve"> (see Note 2)</w:t>
      </w:r>
      <w:r w:rsidRPr="00EC3726">
        <w:rPr>
          <w:lang w:val="en-US"/>
        </w:rPr>
        <w:t xml:space="preserve">. </w:t>
      </w:r>
    </w:p>
    <w:p w14:paraId="49588C19" w14:textId="77777777" w:rsidR="00580B40" w:rsidRPr="00F956EA" w:rsidRDefault="00580B40" w:rsidP="0017003A">
      <w:pPr>
        <w:pStyle w:val="B2"/>
        <w:pBdr>
          <w:top w:val="single" w:sz="4" w:space="1" w:color="auto"/>
          <w:left w:val="single" w:sz="4" w:space="4" w:color="auto"/>
          <w:bottom w:val="single" w:sz="4" w:space="1" w:color="auto"/>
          <w:right w:val="single" w:sz="4" w:space="4" w:color="auto"/>
        </w:pBdr>
      </w:pPr>
      <w:r>
        <w:t>-</w:t>
      </w:r>
      <w:r>
        <w:tab/>
        <w:t>Investigate</w:t>
      </w:r>
      <w:r w:rsidRPr="00A47452">
        <w:t xml:space="preserve"> the feasibility of increasing the number of usable PRBs for different numerologies and channel bandwidths in unlicensed bands, and if found feasible, specify such support.</w:t>
      </w:r>
    </w:p>
    <w:p w14:paraId="650369C1"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zh-CN"/>
        </w:rPr>
      </w:pPr>
      <w:r>
        <w:rPr>
          <w:lang w:eastAsia="zh-CN"/>
        </w:rPr>
        <w:t xml:space="preserve">- </w:t>
      </w:r>
      <w:r>
        <w:rPr>
          <w:lang w:eastAsia="zh-CN"/>
        </w:rPr>
        <w:tab/>
        <w:t>Specify RRM/RLM core requirements.</w:t>
      </w:r>
    </w:p>
    <w:p w14:paraId="4EFD06AD"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zh-CN"/>
        </w:rPr>
      </w:pPr>
      <w:r>
        <w:rPr>
          <w:lang w:eastAsia="zh-CN"/>
        </w:rPr>
        <w:t>Note 1: The actual frequency range for specification can be further discussed based on regulatory updates in the US and Europe.</w:t>
      </w:r>
    </w:p>
    <w:p w14:paraId="5BF5F476" w14:textId="77777777" w:rsidR="00580B40" w:rsidRDefault="00580B40" w:rsidP="0017003A">
      <w:pPr>
        <w:pStyle w:val="B2"/>
        <w:pBdr>
          <w:top w:val="single" w:sz="4" w:space="1" w:color="auto"/>
          <w:left w:val="single" w:sz="4" w:space="4" w:color="auto"/>
          <w:bottom w:val="single" w:sz="4" w:space="1" w:color="auto"/>
          <w:right w:val="single" w:sz="4" w:space="4" w:color="auto"/>
        </w:pBdr>
        <w:rPr>
          <w:lang w:eastAsia="zh-CN"/>
        </w:rPr>
      </w:pPr>
      <w:r>
        <w:rPr>
          <w:lang w:eastAsia="zh-CN"/>
        </w:rPr>
        <w:t>Note 2: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05B03600" w14:textId="77777777" w:rsidR="00580B40" w:rsidRPr="00A7059D" w:rsidRDefault="00580B40" w:rsidP="00580B40">
      <w:pPr>
        <w:spacing w:after="0"/>
        <w:rPr>
          <w:bCs/>
        </w:rPr>
      </w:pPr>
    </w:p>
    <w:p w14:paraId="7D9FF987" w14:textId="008164EA" w:rsidR="00087EFB" w:rsidRDefault="00CF1B7A" w:rsidP="00E34357">
      <w:pPr>
        <w:autoSpaceDE/>
        <w:autoSpaceDN/>
        <w:adjustRightInd/>
        <w:snapToGrid/>
        <w:spacing w:after="0"/>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E637D">
        <w:rPr>
          <w:rFonts w:hint="eastAsia"/>
          <w:color w:val="000000" w:themeColor="text1"/>
          <w:lang w:eastAsia="zh-CN"/>
        </w:rPr>
        <w:t xml:space="preserve"> </w:t>
      </w:r>
      <w:r w:rsidR="00DF71FF">
        <w:rPr>
          <w:rFonts w:eastAsia="MS Mincho"/>
          <w:color w:val="000000" w:themeColor="text1"/>
          <w:lang w:eastAsia="ja-JP"/>
        </w:rPr>
        <w:t>aspects related</w:t>
      </w:r>
      <w:r w:rsidR="009E38B8">
        <w:rPr>
          <w:rFonts w:eastAsia="MS Mincho"/>
          <w:color w:val="000000" w:themeColor="text1"/>
          <w:lang w:eastAsia="ja-JP"/>
        </w:rPr>
        <w:t xml:space="preserve"> to support for multiple BWP </w:t>
      </w:r>
      <w:r w:rsidR="00DF71FF">
        <w:rPr>
          <w:rFonts w:eastAsia="MS Mincho"/>
          <w:color w:val="000000" w:themeColor="text1"/>
          <w:lang w:eastAsia="ja-JP"/>
        </w:rPr>
        <w:t>for the situation of LBT failure in one or more subcarriers</w:t>
      </w:r>
      <w:r w:rsidR="009E38B8">
        <w:rPr>
          <w:rFonts w:eastAsia="MS Mincho"/>
          <w:color w:val="000000" w:themeColor="text1"/>
          <w:lang w:eastAsia="ja-JP"/>
        </w:rPr>
        <w:t xml:space="preserve"> at initial access</w:t>
      </w:r>
      <w:r w:rsidR="00DF71FF">
        <w:rPr>
          <w:rFonts w:eastAsia="MS Mincho"/>
          <w:color w:val="000000" w:themeColor="text1"/>
          <w:lang w:eastAsia="ja-JP"/>
        </w:rPr>
        <w:t>.</w:t>
      </w:r>
    </w:p>
    <w:p w14:paraId="61D3EC86" w14:textId="77777777" w:rsidR="00F12021" w:rsidRDefault="00F12021" w:rsidP="00E34357">
      <w:pPr>
        <w:autoSpaceDE/>
        <w:autoSpaceDN/>
        <w:adjustRightInd/>
        <w:snapToGrid/>
        <w:spacing w:after="0"/>
        <w:rPr>
          <w:rFonts w:cs="Times"/>
          <w:lang w:eastAsia="zh-CN"/>
        </w:rPr>
      </w:pPr>
    </w:p>
    <w:p w14:paraId="30F46E84" w14:textId="0AF13B2C" w:rsidR="00036935" w:rsidRDefault="00D66F82" w:rsidP="00036935">
      <w:pPr>
        <w:pStyle w:val="Heading1"/>
        <w:rPr>
          <w:lang w:eastAsia="zh-CN"/>
        </w:rPr>
      </w:pPr>
      <w:r>
        <w:rPr>
          <w:lang w:eastAsia="zh-CN"/>
        </w:rPr>
        <w:t>Discussion</w:t>
      </w:r>
    </w:p>
    <w:p w14:paraId="1D6A16D5" w14:textId="534DDDEB" w:rsidR="00580B40" w:rsidRDefault="009E38B8" w:rsidP="00FE590D">
      <w:pPr>
        <w:autoSpaceDE/>
        <w:autoSpaceDN/>
        <w:adjustRightInd/>
        <w:snapToGrid/>
        <w:spacing w:after="0"/>
        <w:rPr>
          <w:rFonts w:eastAsia="SimSun"/>
          <w:lang w:eastAsia="zh-CN"/>
        </w:rPr>
      </w:pPr>
      <w:r>
        <w:rPr>
          <w:rFonts w:eastAsia="SimSun"/>
          <w:lang w:eastAsia="zh-CN"/>
        </w:rPr>
        <w:t>In NR, currently only one active BWP is supported. Though for NR-U, due to LBT, multiple active BWPs may have to be considered. In this document, we discuss our view related to initial access.</w:t>
      </w:r>
    </w:p>
    <w:p w14:paraId="6D475D6E" w14:textId="77777777" w:rsidR="009E38B8" w:rsidRDefault="009E38B8" w:rsidP="00FE590D">
      <w:pPr>
        <w:autoSpaceDE/>
        <w:autoSpaceDN/>
        <w:adjustRightInd/>
        <w:snapToGrid/>
        <w:spacing w:after="0"/>
        <w:rPr>
          <w:rFonts w:cs="Times"/>
          <w:lang w:eastAsia="zh-CN"/>
        </w:rPr>
      </w:pPr>
    </w:p>
    <w:p w14:paraId="0A32201C" w14:textId="5D855CFF" w:rsidR="00C07010" w:rsidRPr="001C7C6B" w:rsidRDefault="00C07010" w:rsidP="000254CA">
      <w:pPr>
        <w:pStyle w:val="ListParagraph"/>
        <w:spacing w:after="120"/>
        <w:ind w:left="0"/>
        <w:rPr>
          <w:rFonts w:ascii="Times New Roman" w:eastAsia="MS Mincho" w:hAnsi="Times New Roman" w:cs="Times New Roman"/>
          <w:b/>
          <w:color w:val="000000" w:themeColor="text1"/>
          <w:sz w:val="22"/>
          <w:szCs w:val="22"/>
          <w:u w:val="single"/>
          <w:lang w:eastAsia="ja-JP"/>
        </w:rPr>
      </w:pPr>
      <w:r w:rsidRPr="001C7C6B">
        <w:rPr>
          <w:rFonts w:ascii="Times New Roman" w:eastAsia="MS Mincho" w:hAnsi="Times New Roman" w:cs="Times New Roman"/>
          <w:b/>
          <w:color w:val="000000" w:themeColor="text1"/>
          <w:sz w:val="22"/>
          <w:szCs w:val="22"/>
          <w:u w:val="single"/>
          <w:lang w:eastAsia="ja-JP"/>
        </w:rPr>
        <w:t>Delay sensitive access</w:t>
      </w:r>
      <w:r>
        <w:rPr>
          <w:rFonts w:ascii="Times New Roman" w:eastAsia="MS Mincho" w:hAnsi="Times New Roman" w:cs="Times New Roman"/>
          <w:b/>
          <w:color w:val="000000" w:themeColor="text1"/>
          <w:sz w:val="22"/>
          <w:szCs w:val="22"/>
          <w:u w:val="single"/>
          <w:lang w:eastAsia="ja-JP"/>
        </w:rPr>
        <w:t>:</w:t>
      </w:r>
    </w:p>
    <w:p w14:paraId="228ACC52" w14:textId="1EA473BC" w:rsidR="00C07010" w:rsidRPr="0017003A" w:rsidRDefault="00C07010" w:rsidP="000254CA">
      <w:pPr>
        <w:pStyle w:val="ListParagraph"/>
        <w:spacing w:after="120"/>
        <w:ind w:left="0"/>
        <w:rPr>
          <w:rFonts w:ascii="Times New Roman" w:eastAsia="MS Mincho" w:hAnsi="Times New Roman" w:cs="Times New Roman"/>
          <w:color w:val="000000" w:themeColor="text1"/>
          <w:sz w:val="22"/>
          <w:szCs w:val="22"/>
          <w:lang w:eastAsia="ja-JP"/>
        </w:rPr>
      </w:pPr>
      <w:r w:rsidRPr="001C7C6B">
        <w:rPr>
          <w:rFonts w:ascii="Times New Roman" w:eastAsia="MS Mincho" w:hAnsi="Times New Roman" w:cs="Times New Roman"/>
          <w:color w:val="000000" w:themeColor="text1"/>
          <w:sz w:val="22"/>
          <w:szCs w:val="22"/>
          <w:lang w:eastAsia="ja-JP"/>
        </w:rPr>
        <w:t xml:space="preserve">Due to the nature of unlicensed access, with the concept of LBT, further studies may be needed to handle delay sensitive access attempts, which may suffer unacceptable </w:t>
      </w:r>
      <w:r w:rsidR="00F22B37">
        <w:rPr>
          <w:rFonts w:ascii="Times New Roman" w:eastAsia="MS Mincho" w:hAnsi="Times New Roman" w:cs="Times New Roman"/>
          <w:color w:val="000000" w:themeColor="text1"/>
          <w:sz w:val="22"/>
          <w:szCs w:val="22"/>
          <w:lang w:eastAsia="ja-JP"/>
        </w:rPr>
        <w:t xml:space="preserve">time periods </w:t>
      </w:r>
      <w:r w:rsidRPr="001C7C6B">
        <w:rPr>
          <w:rFonts w:ascii="Times New Roman" w:eastAsia="MS Mincho" w:hAnsi="Times New Roman" w:cs="Times New Roman"/>
          <w:color w:val="000000" w:themeColor="text1"/>
          <w:sz w:val="22"/>
          <w:szCs w:val="22"/>
          <w:lang w:eastAsia="ja-JP"/>
        </w:rPr>
        <w:t>due to LBT.</w:t>
      </w:r>
      <w:r w:rsidR="0017003A">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 xml:space="preserve">One way forward to discuss can be to support multiple RACH procedures, where the UE can initiate parallel </w:t>
      </w:r>
      <w:proofErr w:type="gramStart"/>
      <w:r>
        <w:rPr>
          <w:rFonts w:ascii="Times New Roman" w:eastAsia="MS Mincho" w:hAnsi="Times New Roman" w:cs="Times New Roman"/>
          <w:color w:val="000000" w:themeColor="text1"/>
          <w:sz w:val="22"/>
          <w:szCs w:val="22"/>
          <w:lang w:eastAsia="ja-JP"/>
        </w:rPr>
        <w:t>Random access</w:t>
      </w:r>
      <w:proofErr w:type="gramEnd"/>
      <w:r>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lastRenderedPageBreak/>
        <w:t>attempts</w:t>
      </w:r>
      <w:r w:rsidR="00DD7486">
        <w:rPr>
          <w:rFonts w:ascii="Times New Roman" w:eastAsia="MS Mincho" w:hAnsi="Times New Roman" w:cs="Times New Roman"/>
          <w:color w:val="000000" w:themeColor="text1"/>
          <w:sz w:val="22"/>
          <w:szCs w:val="22"/>
          <w:lang w:eastAsia="ja-JP"/>
        </w:rPr>
        <w:t xml:space="preserve"> in order to mitigate channel access delays.</w:t>
      </w:r>
      <w:r w:rsidR="0017003A">
        <w:rPr>
          <w:rFonts w:ascii="Times New Roman" w:eastAsia="MS Mincho" w:hAnsi="Times New Roman" w:cs="Times New Roman"/>
          <w:color w:val="000000" w:themeColor="text1"/>
          <w:sz w:val="22"/>
          <w:szCs w:val="22"/>
          <w:lang w:eastAsia="ja-JP"/>
        </w:rPr>
        <w:t xml:space="preserve"> </w:t>
      </w:r>
      <w:r w:rsidR="00660655">
        <w:rPr>
          <w:rFonts w:ascii="Times New Roman" w:eastAsia="MS Mincho" w:hAnsi="Times New Roman" w:cs="Times New Roman"/>
          <w:color w:val="000000" w:themeColor="text1"/>
          <w:sz w:val="22"/>
          <w:szCs w:val="22"/>
          <w:lang w:eastAsia="ja-JP"/>
        </w:rPr>
        <w:t xml:space="preserve">The </w:t>
      </w:r>
      <w:r w:rsidR="0017003A">
        <w:rPr>
          <w:rFonts w:ascii="Times New Roman" w:eastAsia="MS Mincho" w:hAnsi="Times New Roman" w:cs="Times New Roman"/>
          <w:color w:val="000000" w:themeColor="text1"/>
          <w:sz w:val="22"/>
          <w:szCs w:val="22"/>
          <w:lang w:eastAsia="ja-JP"/>
        </w:rPr>
        <w:t>proposal</w:t>
      </w:r>
      <w:r w:rsidR="00660655">
        <w:rPr>
          <w:rFonts w:ascii="Times New Roman" w:eastAsia="MS Mincho" w:hAnsi="Times New Roman" w:cs="Times New Roman"/>
          <w:color w:val="000000" w:themeColor="text1"/>
          <w:sz w:val="22"/>
          <w:szCs w:val="22"/>
          <w:lang w:eastAsia="ja-JP"/>
        </w:rPr>
        <w:t xml:space="preserve"> to further discuss configuration of multiple UL BWP´s has e.g. been discussed in </w:t>
      </w:r>
      <w:r w:rsidR="00660655">
        <w:rPr>
          <w:rFonts w:ascii="Times New Roman" w:eastAsia="MS Mincho" w:hAnsi="Times New Roman" w:cs="Times New Roman"/>
          <w:color w:val="000000" w:themeColor="text1"/>
          <w:sz w:val="22"/>
          <w:szCs w:val="22"/>
          <w:lang w:eastAsia="ja-JP"/>
        </w:rPr>
        <w:fldChar w:fldCharType="begin"/>
      </w:r>
      <w:r w:rsidR="00660655">
        <w:rPr>
          <w:rFonts w:ascii="Times New Roman" w:eastAsia="MS Mincho" w:hAnsi="Times New Roman" w:cs="Times New Roman"/>
          <w:color w:val="000000" w:themeColor="text1"/>
          <w:sz w:val="22"/>
          <w:szCs w:val="22"/>
          <w:lang w:eastAsia="ja-JP"/>
        </w:rPr>
        <w:instrText xml:space="preserve"> REF _Ref877622 \r \h </w:instrText>
      </w:r>
      <w:r w:rsidR="00660655">
        <w:rPr>
          <w:rFonts w:ascii="Times New Roman" w:eastAsia="MS Mincho" w:hAnsi="Times New Roman" w:cs="Times New Roman"/>
          <w:color w:val="000000" w:themeColor="text1"/>
          <w:sz w:val="22"/>
          <w:szCs w:val="22"/>
          <w:lang w:eastAsia="ja-JP"/>
        </w:rPr>
      </w:r>
      <w:r w:rsidR="00660655">
        <w:rPr>
          <w:rFonts w:ascii="Times New Roman" w:eastAsia="MS Mincho" w:hAnsi="Times New Roman" w:cs="Times New Roman"/>
          <w:color w:val="000000" w:themeColor="text1"/>
          <w:sz w:val="22"/>
          <w:szCs w:val="22"/>
          <w:lang w:eastAsia="ja-JP"/>
        </w:rPr>
        <w:fldChar w:fldCharType="separate"/>
      </w:r>
      <w:r w:rsidR="00660655">
        <w:rPr>
          <w:rFonts w:ascii="Times New Roman" w:eastAsia="MS Mincho" w:hAnsi="Times New Roman" w:cs="Times New Roman"/>
          <w:color w:val="000000" w:themeColor="text1"/>
          <w:sz w:val="22"/>
          <w:szCs w:val="22"/>
          <w:lang w:eastAsia="ja-JP"/>
        </w:rPr>
        <w:t>[2]</w:t>
      </w:r>
      <w:r w:rsidR="00660655">
        <w:rPr>
          <w:rFonts w:ascii="Times New Roman" w:eastAsia="MS Mincho" w:hAnsi="Times New Roman" w:cs="Times New Roman"/>
          <w:color w:val="000000" w:themeColor="text1"/>
          <w:sz w:val="22"/>
          <w:szCs w:val="22"/>
          <w:lang w:eastAsia="ja-JP"/>
        </w:rPr>
        <w:fldChar w:fldCharType="end"/>
      </w:r>
      <w:r w:rsidR="00660655">
        <w:rPr>
          <w:rFonts w:ascii="Times New Roman" w:eastAsia="MS Mincho" w:hAnsi="Times New Roman" w:cs="Times New Roman"/>
          <w:color w:val="000000" w:themeColor="text1"/>
          <w:sz w:val="22"/>
          <w:szCs w:val="22"/>
          <w:lang w:eastAsia="ja-JP"/>
        </w:rPr>
        <w:t>.</w:t>
      </w:r>
    </w:p>
    <w:p w14:paraId="24B0B296" w14:textId="0B6C2C0C" w:rsidR="0068252F" w:rsidRPr="001C7C6B" w:rsidRDefault="0068252F" w:rsidP="000254CA">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w:t>
      </w:r>
      <w:r w:rsidR="0017003A">
        <w:rPr>
          <w:rFonts w:ascii="Times New Roman" w:eastAsia="MS Mincho" w:hAnsi="Times New Roman" w:cs="Times New Roman"/>
          <w:b/>
          <w:color w:val="000000" w:themeColor="text1"/>
          <w:sz w:val="22"/>
          <w:szCs w:val="22"/>
          <w:lang w:eastAsia="ja-JP"/>
        </w:rPr>
        <w:t>1</w:t>
      </w:r>
      <w:r>
        <w:rPr>
          <w:rFonts w:ascii="Times New Roman" w:eastAsia="MS Mincho" w:hAnsi="Times New Roman" w:cs="Times New Roman"/>
          <w:b/>
          <w:color w:val="000000" w:themeColor="text1"/>
          <w:sz w:val="22"/>
          <w:szCs w:val="22"/>
          <w:lang w:eastAsia="ja-JP"/>
        </w:rPr>
        <w:t xml:space="preserve">: </w:t>
      </w:r>
      <w:r w:rsidRPr="001C7C6B">
        <w:rPr>
          <w:rFonts w:ascii="Times New Roman" w:eastAsia="MS Mincho" w:hAnsi="Times New Roman" w:cs="Times New Roman"/>
          <w:color w:val="000000" w:themeColor="text1"/>
          <w:sz w:val="22"/>
          <w:szCs w:val="22"/>
          <w:lang w:eastAsia="ja-JP"/>
        </w:rPr>
        <w:t xml:space="preserve">The UE should be able to </w:t>
      </w:r>
      <w:r w:rsidR="00C07010" w:rsidRPr="00C07010">
        <w:rPr>
          <w:rFonts w:ascii="Times New Roman" w:eastAsia="MS Mincho" w:hAnsi="Times New Roman" w:cs="Times New Roman"/>
          <w:color w:val="000000" w:themeColor="text1"/>
          <w:sz w:val="22"/>
          <w:szCs w:val="22"/>
          <w:lang w:eastAsia="ja-JP"/>
        </w:rPr>
        <w:t>initiate</w:t>
      </w:r>
      <w:r w:rsidRPr="001C7C6B">
        <w:rPr>
          <w:rFonts w:ascii="Times New Roman" w:eastAsia="MS Mincho" w:hAnsi="Times New Roman" w:cs="Times New Roman"/>
          <w:color w:val="000000" w:themeColor="text1"/>
          <w:sz w:val="22"/>
          <w:szCs w:val="22"/>
          <w:lang w:eastAsia="ja-JP"/>
        </w:rPr>
        <w:t xml:space="preserve"> parallel RACH procedures</w:t>
      </w:r>
    </w:p>
    <w:p w14:paraId="6DA07FA8" w14:textId="77777777" w:rsidR="0017003A" w:rsidRDefault="0017003A" w:rsidP="009B2444">
      <w:pPr>
        <w:pStyle w:val="ListParagraph"/>
        <w:spacing w:after="120"/>
        <w:ind w:left="0"/>
        <w:rPr>
          <w:rFonts w:ascii="Times New Roman" w:eastAsia="MS Mincho" w:hAnsi="Times New Roman" w:cs="Times New Roman"/>
          <w:color w:val="000000" w:themeColor="text1"/>
          <w:sz w:val="22"/>
          <w:szCs w:val="22"/>
          <w:lang w:eastAsia="ja-JP"/>
        </w:rPr>
      </w:pPr>
    </w:p>
    <w:p w14:paraId="33D37BD7" w14:textId="25F8A9FF" w:rsidR="009B2444" w:rsidRPr="001C7C6B" w:rsidRDefault="009B2444" w:rsidP="009B2444">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Since in case of unlicensed access, some parts of the frequency spectrum may suffer from higher LBT blockage, which implies that additional RACH attempts may not always have to be done in the same BWP, but it might be preferable to try another BWP. Therefore</w:t>
      </w:r>
      <w:r w:rsidR="009E38B8">
        <w:rPr>
          <w:rFonts w:ascii="Times New Roman" w:eastAsia="MS Mincho" w:hAnsi="Times New Roman" w:cs="Times New Roman"/>
          <w:color w:val="000000" w:themeColor="text1"/>
          <w:sz w:val="22"/>
          <w:szCs w:val="22"/>
          <w:lang w:eastAsia="ja-JP"/>
        </w:rPr>
        <w:t>,</w:t>
      </w:r>
      <w:r>
        <w:rPr>
          <w:rFonts w:ascii="Times New Roman" w:eastAsia="MS Mincho" w:hAnsi="Times New Roman" w:cs="Times New Roman"/>
          <w:color w:val="000000" w:themeColor="text1"/>
          <w:sz w:val="22"/>
          <w:szCs w:val="22"/>
          <w:lang w:eastAsia="ja-JP"/>
        </w:rPr>
        <w:t xml:space="preserve"> multiple and/or parallel RACH attempts </w:t>
      </w:r>
      <w:r w:rsidR="00F22B37">
        <w:rPr>
          <w:rFonts w:ascii="Times New Roman" w:eastAsia="MS Mincho" w:hAnsi="Times New Roman" w:cs="Times New Roman"/>
          <w:color w:val="000000" w:themeColor="text1"/>
          <w:sz w:val="22"/>
          <w:szCs w:val="22"/>
          <w:lang w:eastAsia="ja-JP"/>
        </w:rPr>
        <w:t>sh</w:t>
      </w:r>
      <w:r>
        <w:rPr>
          <w:rFonts w:ascii="Times New Roman" w:eastAsia="MS Mincho" w:hAnsi="Times New Roman" w:cs="Times New Roman"/>
          <w:color w:val="000000" w:themeColor="text1"/>
          <w:sz w:val="22"/>
          <w:szCs w:val="22"/>
          <w:lang w:eastAsia="ja-JP"/>
        </w:rPr>
        <w:t>oul</w:t>
      </w:r>
      <w:r w:rsidR="003D1C41">
        <w:rPr>
          <w:rFonts w:ascii="Times New Roman" w:eastAsia="MS Mincho" w:hAnsi="Times New Roman" w:cs="Times New Roman"/>
          <w:color w:val="000000" w:themeColor="text1"/>
          <w:sz w:val="22"/>
          <w:szCs w:val="22"/>
          <w:lang w:eastAsia="ja-JP"/>
        </w:rPr>
        <w:t xml:space="preserve">d be </w:t>
      </w:r>
      <w:r w:rsidR="009E38B8">
        <w:rPr>
          <w:rFonts w:ascii="Times New Roman" w:eastAsia="MS Mincho" w:hAnsi="Times New Roman" w:cs="Times New Roman"/>
          <w:color w:val="000000" w:themeColor="text1"/>
          <w:sz w:val="22"/>
          <w:szCs w:val="22"/>
          <w:lang w:eastAsia="ja-JP"/>
        </w:rPr>
        <w:t xml:space="preserve">considered </w:t>
      </w:r>
      <w:r w:rsidR="003D1C41">
        <w:rPr>
          <w:rFonts w:ascii="Times New Roman" w:eastAsia="MS Mincho" w:hAnsi="Times New Roman" w:cs="Times New Roman"/>
          <w:color w:val="000000" w:themeColor="text1"/>
          <w:sz w:val="22"/>
          <w:szCs w:val="22"/>
          <w:lang w:eastAsia="ja-JP"/>
        </w:rPr>
        <w:t>also in different BWP.</w:t>
      </w:r>
    </w:p>
    <w:p w14:paraId="4CF7AD25" w14:textId="1BB02092" w:rsidR="00C07010" w:rsidRDefault="009B2444" w:rsidP="000254CA">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w:t>
      </w:r>
      <w:r w:rsidR="0017003A">
        <w:rPr>
          <w:rFonts w:ascii="Times New Roman" w:eastAsia="MS Mincho" w:hAnsi="Times New Roman" w:cs="Times New Roman"/>
          <w:b/>
          <w:color w:val="000000" w:themeColor="text1"/>
          <w:sz w:val="22"/>
          <w:szCs w:val="22"/>
          <w:lang w:eastAsia="ja-JP"/>
        </w:rPr>
        <w:t>2</w:t>
      </w:r>
      <w:r>
        <w:rPr>
          <w:rFonts w:ascii="Times New Roman" w:eastAsia="MS Mincho" w:hAnsi="Times New Roman" w:cs="Times New Roman"/>
          <w:b/>
          <w:color w:val="000000" w:themeColor="text1"/>
          <w:sz w:val="22"/>
          <w:szCs w:val="22"/>
          <w:lang w:eastAsia="ja-JP"/>
        </w:rPr>
        <w:t xml:space="preserve">: </w:t>
      </w:r>
      <w:r w:rsidRPr="001C7C6B">
        <w:rPr>
          <w:rFonts w:ascii="Times New Roman" w:eastAsia="MS Mincho" w:hAnsi="Times New Roman" w:cs="Times New Roman"/>
          <w:color w:val="000000" w:themeColor="text1"/>
          <w:sz w:val="22"/>
          <w:szCs w:val="22"/>
          <w:lang w:eastAsia="ja-JP"/>
        </w:rPr>
        <w:t xml:space="preserve">The UE should be able to </w:t>
      </w:r>
      <w:r w:rsidRPr="00C07010">
        <w:rPr>
          <w:rFonts w:ascii="Times New Roman" w:eastAsia="MS Mincho" w:hAnsi="Times New Roman" w:cs="Times New Roman"/>
          <w:color w:val="000000" w:themeColor="text1"/>
          <w:sz w:val="22"/>
          <w:szCs w:val="22"/>
          <w:lang w:eastAsia="ja-JP"/>
        </w:rPr>
        <w:t>initiate</w:t>
      </w:r>
      <w:r w:rsidRPr="001C7C6B">
        <w:rPr>
          <w:rFonts w:ascii="Times New Roman" w:eastAsia="MS Mincho" w:hAnsi="Times New Roman" w:cs="Times New Roman"/>
          <w:color w:val="000000" w:themeColor="text1"/>
          <w:sz w:val="22"/>
          <w:szCs w:val="22"/>
          <w:lang w:eastAsia="ja-JP"/>
        </w:rPr>
        <w:t xml:space="preserve"> parallel RACH procedures</w:t>
      </w:r>
      <w:r>
        <w:rPr>
          <w:rFonts w:ascii="Times New Roman" w:eastAsia="MS Mincho" w:hAnsi="Times New Roman" w:cs="Times New Roman"/>
          <w:color w:val="000000" w:themeColor="text1"/>
          <w:sz w:val="22"/>
          <w:szCs w:val="22"/>
          <w:lang w:eastAsia="ja-JP"/>
        </w:rPr>
        <w:t xml:space="preserve"> on different BWP.</w:t>
      </w:r>
    </w:p>
    <w:p w14:paraId="4467A5D3" w14:textId="328C58DB" w:rsidR="009B2444" w:rsidRDefault="009B2444" w:rsidP="0068252F">
      <w:pPr>
        <w:pStyle w:val="ListParagraph"/>
        <w:spacing w:after="120"/>
        <w:ind w:left="0"/>
        <w:rPr>
          <w:rFonts w:ascii="Times New Roman" w:eastAsia="MS Mincho" w:hAnsi="Times New Roman" w:cs="Times New Roman"/>
          <w:b/>
          <w:color w:val="000000" w:themeColor="text1"/>
          <w:sz w:val="22"/>
          <w:szCs w:val="22"/>
          <w:u w:val="single"/>
          <w:lang w:eastAsia="ja-JP"/>
        </w:rPr>
      </w:pPr>
    </w:p>
    <w:p w14:paraId="4D39A858" w14:textId="5A0F73F2" w:rsidR="00660655" w:rsidRPr="0017003A" w:rsidRDefault="00660655" w:rsidP="0068252F">
      <w:pPr>
        <w:pStyle w:val="ListParagraph"/>
        <w:spacing w:after="120"/>
        <w:ind w:left="0"/>
        <w:rPr>
          <w:rFonts w:ascii="Times New Roman" w:eastAsia="MS Mincho" w:hAnsi="Times New Roman" w:cs="Times New Roman"/>
          <w:color w:val="000000" w:themeColor="text1"/>
          <w:sz w:val="22"/>
          <w:szCs w:val="22"/>
          <w:lang w:eastAsia="ja-JP"/>
        </w:rPr>
      </w:pPr>
      <w:r w:rsidRPr="0017003A">
        <w:rPr>
          <w:rFonts w:ascii="Times New Roman" w:eastAsia="MS Mincho" w:hAnsi="Times New Roman" w:cs="Times New Roman"/>
          <w:color w:val="000000" w:themeColor="text1"/>
          <w:sz w:val="22"/>
          <w:szCs w:val="22"/>
          <w:lang w:eastAsia="ja-JP"/>
        </w:rPr>
        <w:t>For</w:t>
      </w:r>
      <w:r>
        <w:rPr>
          <w:rFonts w:ascii="Times New Roman" w:eastAsia="MS Mincho" w:hAnsi="Times New Roman" w:cs="Times New Roman"/>
          <w:color w:val="000000" w:themeColor="text1"/>
          <w:sz w:val="22"/>
          <w:szCs w:val="22"/>
          <w:lang w:eastAsia="ja-JP"/>
        </w:rPr>
        <w:t xml:space="preserve"> the case of</w:t>
      </w:r>
      <w:r w:rsidRPr="0017003A">
        <w:rPr>
          <w:rFonts w:ascii="Times New Roman" w:eastAsia="MS Mincho" w:hAnsi="Times New Roman" w:cs="Times New Roman"/>
          <w:color w:val="000000" w:themeColor="text1"/>
          <w:sz w:val="22"/>
          <w:szCs w:val="22"/>
          <w:lang w:eastAsia="ja-JP"/>
        </w:rPr>
        <w:t xml:space="preserve"> single RACH procedure</w:t>
      </w:r>
      <w:r>
        <w:rPr>
          <w:rFonts w:ascii="Times New Roman" w:eastAsia="MS Mincho" w:hAnsi="Times New Roman" w:cs="Times New Roman"/>
          <w:color w:val="000000" w:themeColor="text1"/>
          <w:sz w:val="22"/>
          <w:szCs w:val="22"/>
          <w:lang w:eastAsia="ja-JP"/>
        </w:rPr>
        <w:t>,</w:t>
      </w:r>
      <w:r w:rsidRPr="0017003A">
        <w:rPr>
          <w:rFonts w:ascii="Times New Roman" w:eastAsia="MS Mincho" w:hAnsi="Times New Roman" w:cs="Times New Roman"/>
          <w:color w:val="000000" w:themeColor="text1"/>
          <w:sz w:val="22"/>
          <w:szCs w:val="22"/>
          <w:lang w:eastAsia="ja-JP"/>
        </w:rPr>
        <w:t xml:space="preserve"> multiple BWPs candidates should be supported, where the UE </w:t>
      </w:r>
      <w:r>
        <w:rPr>
          <w:rFonts w:ascii="Times New Roman" w:eastAsia="MS Mincho" w:hAnsi="Times New Roman" w:cs="Times New Roman"/>
          <w:color w:val="000000" w:themeColor="text1"/>
          <w:sz w:val="22"/>
          <w:szCs w:val="22"/>
          <w:lang w:eastAsia="ja-JP"/>
        </w:rPr>
        <w:t>have multiple opportunities to perform</w:t>
      </w:r>
      <w:r w:rsidRPr="0017003A">
        <w:rPr>
          <w:rFonts w:ascii="Times New Roman" w:eastAsia="MS Mincho" w:hAnsi="Times New Roman" w:cs="Times New Roman"/>
          <w:color w:val="000000" w:themeColor="text1"/>
          <w:sz w:val="22"/>
          <w:szCs w:val="22"/>
          <w:lang w:eastAsia="ja-JP"/>
        </w:rPr>
        <w:t xml:space="preserve"> LBT in multiple BWPs</w:t>
      </w:r>
      <w:r>
        <w:rPr>
          <w:rFonts w:ascii="Times New Roman" w:eastAsia="MS Mincho" w:hAnsi="Times New Roman" w:cs="Times New Roman"/>
          <w:color w:val="000000" w:themeColor="text1"/>
          <w:sz w:val="22"/>
          <w:szCs w:val="22"/>
          <w:lang w:eastAsia="ja-JP"/>
        </w:rPr>
        <w:t xml:space="preserve">, based on e.g. channel condition </w:t>
      </w:r>
      <w:r>
        <w:rPr>
          <w:rFonts w:ascii="Times New Roman" w:eastAsia="MS Mincho" w:hAnsi="Times New Roman" w:cs="Times New Roman"/>
          <w:color w:val="000000" w:themeColor="text1"/>
          <w:sz w:val="22"/>
          <w:szCs w:val="22"/>
          <w:lang w:eastAsia="ja-JP"/>
        </w:rPr>
        <w:fldChar w:fldCharType="begin"/>
      </w:r>
      <w:r>
        <w:rPr>
          <w:rFonts w:ascii="Times New Roman" w:eastAsia="MS Mincho" w:hAnsi="Times New Roman" w:cs="Times New Roman"/>
          <w:color w:val="000000" w:themeColor="text1"/>
          <w:sz w:val="22"/>
          <w:szCs w:val="22"/>
          <w:lang w:eastAsia="ja-JP"/>
        </w:rPr>
        <w:instrText xml:space="preserve"> REF _Ref877463 \r \h </w:instrText>
      </w:r>
      <w:r>
        <w:rPr>
          <w:rFonts w:ascii="Times New Roman" w:eastAsia="MS Mincho" w:hAnsi="Times New Roman" w:cs="Times New Roman"/>
          <w:color w:val="000000" w:themeColor="text1"/>
          <w:sz w:val="22"/>
          <w:szCs w:val="22"/>
          <w:lang w:eastAsia="ja-JP"/>
        </w:rPr>
      </w:r>
      <w:r>
        <w:rPr>
          <w:rFonts w:ascii="Times New Roman" w:eastAsia="MS Mincho" w:hAnsi="Times New Roman" w:cs="Times New Roman"/>
          <w:color w:val="000000" w:themeColor="text1"/>
          <w:sz w:val="22"/>
          <w:szCs w:val="22"/>
          <w:lang w:eastAsia="ja-JP"/>
        </w:rPr>
        <w:fldChar w:fldCharType="separate"/>
      </w:r>
      <w:r>
        <w:rPr>
          <w:rFonts w:ascii="Times New Roman" w:eastAsia="MS Mincho" w:hAnsi="Times New Roman" w:cs="Times New Roman"/>
          <w:color w:val="000000" w:themeColor="text1"/>
          <w:sz w:val="22"/>
          <w:szCs w:val="22"/>
          <w:lang w:eastAsia="ja-JP"/>
        </w:rPr>
        <w:t>[3]</w:t>
      </w:r>
      <w:r>
        <w:rPr>
          <w:rFonts w:ascii="Times New Roman" w:eastAsia="MS Mincho" w:hAnsi="Times New Roman" w:cs="Times New Roman"/>
          <w:color w:val="000000" w:themeColor="text1"/>
          <w:sz w:val="22"/>
          <w:szCs w:val="22"/>
          <w:lang w:eastAsia="ja-JP"/>
        </w:rPr>
        <w:fldChar w:fldCharType="end"/>
      </w:r>
      <w:r>
        <w:rPr>
          <w:rFonts w:ascii="Times New Roman" w:eastAsia="MS Mincho" w:hAnsi="Times New Roman" w:cs="Times New Roman"/>
          <w:color w:val="000000" w:themeColor="text1"/>
          <w:sz w:val="22"/>
          <w:szCs w:val="22"/>
          <w:lang w:eastAsia="ja-JP"/>
        </w:rPr>
        <w:t>.</w:t>
      </w:r>
    </w:p>
    <w:p w14:paraId="42F6B72E" w14:textId="1E138ACA" w:rsidR="009E38B8" w:rsidRDefault="009E38B8" w:rsidP="009E38B8">
      <w:pPr>
        <w:pStyle w:val="ListParagraph"/>
        <w:spacing w:after="120"/>
        <w:ind w:left="0"/>
        <w:rPr>
          <w:rFonts w:ascii="Times New Roman" w:hAnsi="Times New Roman" w:cs="Times New Roman"/>
          <w:b/>
          <w:bCs/>
          <w:color w:val="000000"/>
          <w:sz w:val="22"/>
          <w:szCs w:val="22"/>
          <w:lang w:eastAsia="ja-JP"/>
        </w:rPr>
      </w:pPr>
      <w:r>
        <w:rPr>
          <w:rFonts w:ascii="Times New Roman" w:hAnsi="Times New Roman" w:cs="Times New Roman"/>
          <w:color w:val="000000"/>
          <w:sz w:val="22"/>
          <w:szCs w:val="22"/>
          <w:lang w:eastAsia="ja-JP"/>
        </w:rPr>
        <w:t xml:space="preserve">FDM of PRACH resource is supported in NR. If UL wideband operation with a sub-band bandwidth of 20 MHz is allowed, as discussed in </w:t>
      </w:r>
      <w:r w:rsidR="00965C66" w:rsidRPr="00394FCF">
        <w:rPr>
          <w:rFonts w:ascii="Times New Roman" w:hAnsi="Times New Roman" w:cs="Times New Roman"/>
          <w:color w:val="000000"/>
          <w:sz w:val="22"/>
          <w:szCs w:val="22"/>
          <w:lang w:eastAsia="ja-JP"/>
        </w:rPr>
        <w:fldChar w:fldCharType="begin"/>
      </w:r>
      <w:r w:rsidR="00965C66" w:rsidRPr="00394FCF">
        <w:rPr>
          <w:rFonts w:ascii="Times New Roman" w:hAnsi="Times New Roman" w:cs="Times New Roman"/>
          <w:color w:val="000000"/>
          <w:sz w:val="22"/>
          <w:szCs w:val="22"/>
          <w:lang w:eastAsia="ja-JP"/>
        </w:rPr>
        <w:instrText xml:space="preserve"> REF _Ref1032981 \r \h </w:instrText>
      </w:r>
      <w:r w:rsidR="00965C66" w:rsidRPr="00394FCF">
        <w:rPr>
          <w:rFonts w:ascii="Times New Roman" w:hAnsi="Times New Roman" w:cs="Times New Roman"/>
          <w:color w:val="000000"/>
          <w:sz w:val="22"/>
          <w:szCs w:val="22"/>
          <w:lang w:eastAsia="ja-JP"/>
        </w:rPr>
      </w:r>
      <w:r w:rsidR="00394FCF">
        <w:rPr>
          <w:rFonts w:ascii="Times New Roman" w:hAnsi="Times New Roman" w:cs="Times New Roman"/>
          <w:color w:val="000000"/>
          <w:sz w:val="22"/>
          <w:szCs w:val="22"/>
          <w:lang w:eastAsia="ja-JP"/>
        </w:rPr>
        <w:instrText xml:space="preserve"> \* MERGEFORMAT </w:instrText>
      </w:r>
      <w:r w:rsidR="00965C66" w:rsidRPr="00394FCF">
        <w:rPr>
          <w:rFonts w:ascii="Times New Roman" w:hAnsi="Times New Roman" w:cs="Times New Roman"/>
          <w:color w:val="000000"/>
          <w:sz w:val="22"/>
          <w:szCs w:val="22"/>
          <w:lang w:eastAsia="ja-JP"/>
        </w:rPr>
        <w:fldChar w:fldCharType="separate"/>
      </w:r>
      <w:r w:rsidR="00965C66" w:rsidRPr="00394FCF">
        <w:rPr>
          <w:rFonts w:ascii="Times New Roman" w:hAnsi="Times New Roman" w:cs="Times New Roman"/>
          <w:color w:val="000000"/>
          <w:sz w:val="22"/>
          <w:szCs w:val="22"/>
          <w:lang w:eastAsia="ja-JP"/>
        </w:rPr>
        <w:t>[4]</w:t>
      </w:r>
      <w:r w:rsidR="00965C66" w:rsidRPr="00394FCF">
        <w:rPr>
          <w:rFonts w:ascii="Times New Roman" w:hAnsi="Times New Roman" w:cs="Times New Roman"/>
          <w:color w:val="000000"/>
          <w:sz w:val="22"/>
          <w:szCs w:val="22"/>
          <w:lang w:eastAsia="ja-JP"/>
        </w:rPr>
        <w:fldChar w:fldCharType="end"/>
      </w:r>
      <w:bookmarkStart w:id="2" w:name="_GoBack"/>
      <w:bookmarkEnd w:id="2"/>
      <w:r w:rsidRPr="00394FCF">
        <w:rPr>
          <w:rFonts w:ascii="Times New Roman" w:hAnsi="Times New Roman" w:cs="Times New Roman"/>
          <w:color w:val="000000"/>
          <w:sz w:val="22"/>
          <w:szCs w:val="22"/>
          <w:lang w:eastAsia="ja-JP"/>
        </w:rPr>
        <w:t>,</w:t>
      </w:r>
      <w:r>
        <w:rPr>
          <w:rFonts w:ascii="Times New Roman" w:hAnsi="Times New Roman" w:cs="Times New Roman"/>
          <w:color w:val="000000"/>
          <w:sz w:val="22"/>
          <w:szCs w:val="22"/>
          <w:lang w:eastAsia="ja-JP"/>
        </w:rPr>
        <w:t xml:space="preserve"> it is possible that multiple PRACH resources across multiple LBT sub-bands are configured so that the UE can transmit PRACH on the sub-band where LBT succeeds. By using multiple sub-bands for PRACH transmission, PRACH congestion could be reduced.</w:t>
      </w:r>
    </w:p>
    <w:p w14:paraId="0DDE2C11" w14:textId="40463E75" w:rsidR="009E38B8" w:rsidRDefault="009E38B8" w:rsidP="009E38B8">
      <w:pPr>
        <w:pStyle w:val="ListParagraph"/>
        <w:spacing w:after="120"/>
        <w:ind w:left="0"/>
        <w:rPr>
          <w:rFonts w:ascii="Times New Roman" w:hAnsi="Times New Roman" w:cs="Times New Roman"/>
          <w:b/>
          <w:bCs/>
          <w:color w:val="000000"/>
          <w:sz w:val="22"/>
          <w:szCs w:val="22"/>
          <w:lang w:eastAsia="ja-JP"/>
        </w:rPr>
      </w:pPr>
      <w:r>
        <w:rPr>
          <w:rFonts w:ascii="Times New Roman" w:hAnsi="Times New Roman" w:cs="Times New Roman"/>
          <w:b/>
          <w:bCs/>
          <w:color w:val="000000"/>
          <w:sz w:val="22"/>
          <w:szCs w:val="22"/>
          <w:lang w:eastAsia="ja-JP"/>
        </w:rPr>
        <w:t xml:space="preserve">Proposal </w:t>
      </w:r>
      <w:r w:rsidR="0017003A">
        <w:rPr>
          <w:rFonts w:ascii="Times New Roman" w:hAnsi="Times New Roman" w:cs="Times New Roman"/>
          <w:b/>
          <w:bCs/>
          <w:color w:val="000000"/>
          <w:sz w:val="22"/>
          <w:szCs w:val="22"/>
          <w:lang w:eastAsia="ja-JP"/>
        </w:rPr>
        <w:t>3</w:t>
      </w:r>
      <w:r>
        <w:rPr>
          <w:rFonts w:ascii="Times New Roman" w:hAnsi="Times New Roman" w:cs="Times New Roman"/>
          <w:b/>
          <w:bCs/>
          <w:color w:val="000000"/>
          <w:sz w:val="22"/>
          <w:szCs w:val="22"/>
          <w:lang w:eastAsia="ja-JP"/>
        </w:rPr>
        <w:t xml:space="preserve">: </w:t>
      </w:r>
      <w:r>
        <w:rPr>
          <w:rFonts w:ascii="Times New Roman" w:hAnsi="Times New Roman" w:cs="Times New Roman"/>
          <w:i/>
          <w:iCs/>
          <w:color w:val="000000"/>
          <w:sz w:val="22"/>
          <w:szCs w:val="22"/>
          <w:lang w:eastAsia="ja-JP"/>
        </w:rPr>
        <w:t>In frequency domain, if UL wideband operation with a sub-band bandwidth of 20 MHz is allowed, NR-U should support multiple PRACH resources on multiple sub-bands.</w:t>
      </w:r>
    </w:p>
    <w:p w14:paraId="71902C0C" w14:textId="77777777" w:rsidR="009E38B8" w:rsidRDefault="009E38B8" w:rsidP="0068252F">
      <w:pPr>
        <w:pStyle w:val="ListParagraph"/>
        <w:spacing w:after="120"/>
        <w:ind w:left="0"/>
        <w:rPr>
          <w:rFonts w:ascii="Times New Roman" w:eastAsia="MS Mincho" w:hAnsi="Times New Roman" w:cs="Times New Roman"/>
          <w:b/>
          <w:color w:val="000000" w:themeColor="text1"/>
          <w:sz w:val="22"/>
          <w:szCs w:val="22"/>
          <w:u w:val="single"/>
          <w:lang w:eastAsia="ja-JP"/>
        </w:rPr>
      </w:pPr>
    </w:p>
    <w:p w14:paraId="624A80A9" w14:textId="77777777" w:rsidR="0068252F" w:rsidRPr="001C7C6B" w:rsidRDefault="0068252F" w:rsidP="0068252F">
      <w:pPr>
        <w:pStyle w:val="ListParagraph"/>
        <w:spacing w:after="120"/>
        <w:ind w:left="0"/>
        <w:rPr>
          <w:rFonts w:ascii="Times New Roman" w:eastAsia="MS Mincho" w:hAnsi="Times New Roman" w:cs="Times New Roman"/>
          <w:b/>
          <w:color w:val="000000" w:themeColor="text1"/>
          <w:sz w:val="22"/>
          <w:szCs w:val="22"/>
          <w:u w:val="single"/>
          <w:lang w:eastAsia="ja-JP"/>
        </w:rPr>
      </w:pPr>
      <w:r w:rsidRPr="001C7C6B">
        <w:rPr>
          <w:rFonts w:ascii="Times New Roman" w:eastAsia="MS Mincho" w:hAnsi="Times New Roman" w:cs="Times New Roman"/>
          <w:b/>
          <w:color w:val="000000" w:themeColor="text1"/>
          <w:sz w:val="22"/>
          <w:szCs w:val="22"/>
          <w:u w:val="single"/>
          <w:lang w:eastAsia="ja-JP"/>
        </w:rPr>
        <w:t>Beam selection:</w:t>
      </w:r>
    </w:p>
    <w:p w14:paraId="7791D1F8" w14:textId="77777777" w:rsidR="00DD7486" w:rsidRPr="00D929F8" w:rsidRDefault="00DD7486" w:rsidP="00DD7486">
      <w:pPr>
        <w:pStyle w:val="ListParagraph"/>
        <w:spacing w:after="120"/>
        <w:ind w:left="0"/>
        <w:rPr>
          <w:rFonts w:ascii="Times New Roman" w:eastAsia="MS Mincho" w:hAnsi="Times New Roman" w:cs="Times New Roman"/>
          <w:color w:val="000000" w:themeColor="text1"/>
          <w:sz w:val="22"/>
          <w:szCs w:val="22"/>
          <w:lang w:eastAsia="ja-JP"/>
        </w:rPr>
      </w:pPr>
      <w:r w:rsidRPr="00DD7486">
        <w:rPr>
          <w:rFonts w:ascii="Times New Roman" w:eastAsia="MS Mincho" w:hAnsi="Times New Roman" w:cs="Times New Roman"/>
          <w:color w:val="000000" w:themeColor="text1"/>
          <w:sz w:val="22"/>
          <w:szCs w:val="22"/>
          <w:lang w:eastAsia="ja-JP"/>
        </w:rPr>
        <w:t>Another aspect</w:t>
      </w:r>
      <w:r w:rsidRPr="00D929F8">
        <w:rPr>
          <w:rFonts w:ascii="Times New Roman" w:eastAsia="MS Mincho" w:hAnsi="Times New Roman" w:cs="Times New Roman"/>
          <w:color w:val="000000" w:themeColor="text1"/>
          <w:sz w:val="22"/>
          <w:szCs w:val="22"/>
          <w:lang w:eastAsia="ja-JP"/>
        </w:rPr>
        <w:t xml:space="preserve"> which has not been covered by email discussion is related to beam selection.</w:t>
      </w:r>
    </w:p>
    <w:p w14:paraId="5F36B387" w14:textId="3D884A33" w:rsidR="0068252F" w:rsidRDefault="003D2855" w:rsidP="0068252F">
      <w:pPr>
        <w:pStyle w:val="ListParagraph"/>
        <w:spacing w:after="120"/>
        <w:ind w:left="0"/>
        <w:rPr>
          <w:rFonts w:ascii="Times New Roman" w:eastAsia="MS Mincho" w:hAnsi="Times New Roman" w:cs="Times New Roman"/>
          <w:color w:val="000000" w:themeColor="text1"/>
          <w:sz w:val="22"/>
          <w:szCs w:val="22"/>
          <w:lang w:eastAsia="ja-JP"/>
        </w:rPr>
      </w:pPr>
      <w:r w:rsidRPr="001C7C6B">
        <w:rPr>
          <w:rFonts w:ascii="Times New Roman" w:eastAsia="MS Mincho" w:hAnsi="Times New Roman" w:cs="Times New Roman"/>
          <w:color w:val="000000" w:themeColor="text1"/>
          <w:sz w:val="22"/>
          <w:szCs w:val="22"/>
          <w:lang w:eastAsia="ja-JP"/>
        </w:rPr>
        <w:t xml:space="preserve">Beam </w:t>
      </w:r>
      <w:r w:rsidR="00C07010" w:rsidRPr="001C7C6B">
        <w:rPr>
          <w:rFonts w:ascii="Times New Roman" w:eastAsia="MS Mincho" w:hAnsi="Times New Roman" w:cs="Times New Roman"/>
          <w:color w:val="000000" w:themeColor="text1"/>
          <w:sz w:val="22"/>
          <w:szCs w:val="22"/>
          <w:lang w:eastAsia="ja-JP"/>
        </w:rPr>
        <w:t xml:space="preserve">selection is an area that </w:t>
      </w:r>
      <w:r w:rsidRPr="001C7C6B">
        <w:rPr>
          <w:rFonts w:ascii="Times New Roman" w:eastAsia="MS Mincho" w:hAnsi="Times New Roman" w:cs="Times New Roman"/>
          <w:color w:val="000000" w:themeColor="text1"/>
          <w:sz w:val="22"/>
          <w:szCs w:val="22"/>
          <w:lang w:eastAsia="ja-JP"/>
        </w:rPr>
        <w:t xml:space="preserve">may be impacted by LBT, in case the base station </w:t>
      </w:r>
      <w:r w:rsidR="00DF71FF">
        <w:rPr>
          <w:rFonts w:ascii="Times New Roman" w:eastAsia="MS Mincho" w:hAnsi="Times New Roman" w:cs="Times New Roman"/>
          <w:color w:val="000000" w:themeColor="text1"/>
          <w:sz w:val="22"/>
          <w:szCs w:val="22"/>
          <w:lang w:eastAsia="ja-JP"/>
        </w:rPr>
        <w:t>is</w:t>
      </w:r>
      <w:r w:rsidRPr="001C7C6B">
        <w:rPr>
          <w:rFonts w:ascii="Times New Roman" w:eastAsia="MS Mincho" w:hAnsi="Times New Roman" w:cs="Times New Roman"/>
          <w:color w:val="000000" w:themeColor="text1"/>
          <w:sz w:val="22"/>
          <w:szCs w:val="22"/>
          <w:lang w:eastAsia="ja-JP"/>
        </w:rPr>
        <w:t xml:space="preserve"> prohibited to transmit SSB in certain beam for </w:t>
      </w:r>
      <w:proofErr w:type="gramStart"/>
      <w:r w:rsidR="00DD7486">
        <w:rPr>
          <w:rFonts w:ascii="Times New Roman" w:eastAsia="MS Mincho" w:hAnsi="Times New Roman" w:cs="Times New Roman"/>
          <w:color w:val="000000" w:themeColor="text1"/>
          <w:sz w:val="22"/>
          <w:szCs w:val="22"/>
          <w:lang w:eastAsia="ja-JP"/>
        </w:rPr>
        <w:t>a number of</w:t>
      </w:r>
      <w:proofErr w:type="gramEnd"/>
      <w:r w:rsidR="00DD7486">
        <w:rPr>
          <w:rFonts w:ascii="Times New Roman" w:eastAsia="MS Mincho" w:hAnsi="Times New Roman" w:cs="Times New Roman"/>
          <w:color w:val="000000" w:themeColor="text1"/>
          <w:sz w:val="22"/>
          <w:szCs w:val="22"/>
          <w:lang w:eastAsia="ja-JP"/>
        </w:rPr>
        <w:t xml:space="preserve"> occasions or during a certain time period.</w:t>
      </w:r>
    </w:p>
    <w:p w14:paraId="3F16252A" w14:textId="59AF50B8" w:rsidR="00DD7486" w:rsidRDefault="00DD7486" w:rsidP="0068252F">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One way forward to discuss can be to support the UE is monitoring not only the best beam, but monitors two or more beams in parallel, </w:t>
      </w:r>
      <w:proofErr w:type="gramStart"/>
      <w:r>
        <w:rPr>
          <w:rFonts w:ascii="Times New Roman" w:eastAsia="MS Mincho" w:hAnsi="Times New Roman" w:cs="Times New Roman"/>
          <w:color w:val="000000" w:themeColor="text1"/>
          <w:sz w:val="22"/>
          <w:szCs w:val="22"/>
          <w:lang w:eastAsia="ja-JP"/>
        </w:rPr>
        <w:t>in order to</w:t>
      </w:r>
      <w:proofErr w:type="gramEnd"/>
      <w:r>
        <w:rPr>
          <w:rFonts w:ascii="Times New Roman" w:eastAsia="MS Mincho" w:hAnsi="Times New Roman" w:cs="Times New Roman"/>
          <w:color w:val="000000" w:themeColor="text1"/>
          <w:sz w:val="22"/>
          <w:szCs w:val="22"/>
          <w:lang w:eastAsia="ja-JP"/>
        </w:rPr>
        <w:t xml:space="preserve"> always have the possibility to fast access attempt if the SSB is blocked by LBT on the best beam </w:t>
      </w:r>
      <w:r w:rsidR="006D194E">
        <w:rPr>
          <w:rFonts w:ascii="Times New Roman" w:eastAsia="MS Mincho" w:hAnsi="Times New Roman" w:cs="Times New Roman"/>
          <w:color w:val="000000" w:themeColor="text1"/>
          <w:sz w:val="22"/>
          <w:szCs w:val="22"/>
          <w:lang w:eastAsia="ja-JP"/>
        </w:rPr>
        <w:t xml:space="preserve">that </w:t>
      </w:r>
      <w:r>
        <w:rPr>
          <w:rFonts w:ascii="Times New Roman" w:eastAsia="MS Mincho" w:hAnsi="Times New Roman" w:cs="Times New Roman"/>
          <w:color w:val="000000" w:themeColor="text1"/>
          <w:sz w:val="22"/>
          <w:szCs w:val="22"/>
          <w:lang w:eastAsia="ja-JP"/>
        </w:rPr>
        <w:t>UE is “camping on”.</w:t>
      </w:r>
    </w:p>
    <w:p w14:paraId="1713CECF" w14:textId="0D2EE30C" w:rsidR="0068252F" w:rsidRDefault="0068252F" w:rsidP="0068252F">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w:t>
      </w:r>
      <w:r w:rsidR="0017003A">
        <w:rPr>
          <w:rFonts w:ascii="Times New Roman" w:eastAsia="MS Mincho" w:hAnsi="Times New Roman" w:cs="Times New Roman"/>
          <w:b/>
          <w:color w:val="000000" w:themeColor="text1"/>
          <w:sz w:val="22"/>
          <w:szCs w:val="22"/>
          <w:lang w:eastAsia="ja-JP"/>
        </w:rPr>
        <w:t>4</w:t>
      </w:r>
      <w:r>
        <w:rPr>
          <w:rFonts w:ascii="Times New Roman" w:eastAsia="MS Mincho" w:hAnsi="Times New Roman" w:cs="Times New Roman"/>
          <w:b/>
          <w:color w:val="000000" w:themeColor="text1"/>
          <w:sz w:val="22"/>
          <w:szCs w:val="22"/>
          <w:lang w:eastAsia="ja-JP"/>
        </w:rPr>
        <w:t xml:space="preserve">: </w:t>
      </w:r>
      <w:r w:rsidRPr="001C7C6B">
        <w:rPr>
          <w:rFonts w:ascii="Times New Roman" w:eastAsia="MS Mincho" w:hAnsi="Times New Roman" w:cs="Times New Roman"/>
          <w:color w:val="000000" w:themeColor="text1"/>
          <w:sz w:val="22"/>
          <w:szCs w:val="22"/>
          <w:lang w:eastAsia="ja-JP"/>
        </w:rPr>
        <w:t>The UE sho</w:t>
      </w:r>
      <w:r w:rsidR="00DD7486" w:rsidRPr="00384FE3">
        <w:rPr>
          <w:rFonts w:ascii="Times New Roman" w:eastAsia="MS Mincho" w:hAnsi="Times New Roman" w:cs="Times New Roman"/>
          <w:color w:val="000000" w:themeColor="text1"/>
          <w:sz w:val="22"/>
          <w:szCs w:val="22"/>
          <w:lang w:eastAsia="ja-JP"/>
        </w:rPr>
        <w:t>uld be able to select the alternative</w:t>
      </w:r>
      <w:r w:rsidRPr="001C7C6B">
        <w:rPr>
          <w:rFonts w:ascii="Times New Roman" w:eastAsia="MS Mincho" w:hAnsi="Times New Roman" w:cs="Times New Roman"/>
          <w:color w:val="000000" w:themeColor="text1"/>
          <w:sz w:val="22"/>
          <w:szCs w:val="22"/>
          <w:lang w:eastAsia="ja-JP"/>
        </w:rPr>
        <w:t xml:space="preserve"> best beam</w:t>
      </w:r>
      <w:r w:rsidR="00384FE3">
        <w:rPr>
          <w:rFonts w:ascii="Times New Roman" w:eastAsia="MS Mincho" w:hAnsi="Times New Roman" w:cs="Times New Roman"/>
          <w:color w:val="000000" w:themeColor="text1"/>
          <w:sz w:val="22"/>
          <w:szCs w:val="22"/>
          <w:lang w:eastAsia="ja-JP"/>
        </w:rPr>
        <w:t>.</w:t>
      </w:r>
    </w:p>
    <w:p w14:paraId="50921D9B" w14:textId="77777777" w:rsidR="0068252F" w:rsidRPr="006A009D" w:rsidRDefault="0068252F" w:rsidP="000254CA">
      <w:pPr>
        <w:pStyle w:val="ListParagraph"/>
        <w:spacing w:after="120"/>
        <w:ind w:left="0"/>
        <w:rPr>
          <w:rFonts w:ascii="Times New Roman" w:eastAsia="MS Mincho" w:hAnsi="Times New Roman" w:cs="Times New Roman"/>
          <w:b/>
          <w:color w:val="000000" w:themeColor="text1"/>
          <w:sz w:val="22"/>
          <w:szCs w:val="22"/>
          <w:lang w:eastAsia="ja-JP"/>
        </w:rPr>
      </w:pPr>
    </w:p>
    <w:p w14:paraId="7E1FCFA1" w14:textId="0019C109" w:rsidR="001D76DF" w:rsidRDefault="00842220" w:rsidP="001D76DF">
      <w:pPr>
        <w:pStyle w:val="Heading1"/>
        <w:jc w:val="left"/>
        <w:rPr>
          <w:color w:val="000000" w:themeColor="text1"/>
          <w:lang w:eastAsia="zh-CN"/>
        </w:rPr>
      </w:pPr>
      <w:r w:rsidRPr="005B50B6">
        <w:rPr>
          <w:color w:val="000000" w:themeColor="text1"/>
          <w:lang w:eastAsia="zh-CN"/>
        </w:rPr>
        <w:t>Conclusions</w:t>
      </w:r>
    </w:p>
    <w:p w14:paraId="075DB149" w14:textId="29B61A03"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Pr="00F7452E">
        <w:rPr>
          <w:rFonts w:eastAsia="SimSun"/>
          <w:lang w:eastAsia="zh-CN"/>
        </w:rPr>
        <w:t>:</w:t>
      </w:r>
    </w:p>
    <w:p w14:paraId="31774076" w14:textId="77777777" w:rsidR="0017003A" w:rsidRPr="001C7C6B" w:rsidRDefault="0017003A" w:rsidP="0017003A">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1: </w:t>
      </w:r>
      <w:r w:rsidRPr="001C7C6B">
        <w:rPr>
          <w:rFonts w:ascii="Times New Roman" w:eastAsia="MS Mincho" w:hAnsi="Times New Roman" w:cs="Times New Roman"/>
          <w:color w:val="000000" w:themeColor="text1"/>
          <w:sz w:val="22"/>
          <w:szCs w:val="22"/>
          <w:lang w:eastAsia="ja-JP"/>
        </w:rPr>
        <w:t xml:space="preserve">The UE should be able to </w:t>
      </w:r>
      <w:r w:rsidRPr="00C07010">
        <w:rPr>
          <w:rFonts w:ascii="Times New Roman" w:eastAsia="MS Mincho" w:hAnsi="Times New Roman" w:cs="Times New Roman"/>
          <w:color w:val="000000" w:themeColor="text1"/>
          <w:sz w:val="22"/>
          <w:szCs w:val="22"/>
          <w:lang w:eastAsia="ja-JP"/>
        </w:rPr>
        <w:t>initiate</w:t>
      </w:r>
      <w:r w:rsidRPr="001C7C6B">
        <w:rPr>
          <w:rFonts w:ascii="Times New Roman" w:eastAsia="MS Mincho" w:hAnsi="Times New Roman" w:cs="Times New Roman"/>
          <w:color w:val="000000" w:themeColor="text1"/>
          <w:sz w:val="22"/>
          <w:szCs w:val="22"/>
          <w:lang w:eastAsia="ja-JP"/>
        </w:rPr>
        <w:t xml:space="preserve"> parallel RACH procedures</w:t>
      </w:r>
    </w:p>
    <w:p w14:paraId="0ABD75A3" w14:textId="77777777" w:rsidR="0017003A" w:rsidRDefault="0017003A" w:rsidP="0017003A">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2: </w:t>
      </w:r>
      <w:r w:rsidRPr="001C7C6B">
        <w:rPr>
          <w:rFonts w:ascii="Times New Roman" w:eastAsia="MS Mincho" w:hAnsi="Times New Roman" w:cs="Times New Roman"/>
          <w:color w:val="000000" w:themeColor="text1"/>
          <w:sz w:val="22"/>
          <w:szCs w:val="22"/>
          <w:lang w:eastAsia="ja-JP"/>
        </w:rPr>
        <w:t xml:space="preserve">The UE should be able to </w:t>
      </w:r>
      <w:r w:rsidRPr="00C07010">
        <w:rPr>
          <w:rFonts w:ascii="Times New Roman" w:eastAsia="MS Mincho" w:hAnsi="Times New Roman" w:cs="Times New Roman"/>
          <w:color w:val="000000" w:themeColor="text1"/>
          <w:sz w:val="22"/>
          <w:szCs w:val="22"/>
          <w:lang w:eastAsia="ja-JP"/>
        </w:rPr>
        <w:t>initiate</w:t>
      </w:r>
      <w:r w:rsidRPr="001C7C6B">
        <w:rPr>
          <w:rFonts w:ascii="Times New Roman" w:eastAsia="MS Mincho" w:hAnsi="Times New Roman" w:cs="Times New Roman"/>
          <w:color w:val="000000" w:themeColor="text1"/>
          <w:sz w:val="22"/>
          <w:szCs w:val="22"/>
          <w:lang w:eastAsia="ja-JP"/>
        </w:rPr>
        <w:t xml:space="preserve"> parallel RACH procedures</w:t>
      </w:r>
      <w:r>
        <w:rPr>
          <w:rFonts w:ascii="Times New Roman" w:eastAsia="MS Mincho" w:hAnsi="Times New Roman" w:cs="Times New Roman"/>
          <w:color w:val="000000" w:themeColor="text1"/>
          <w:sz w:val="22"/>
          <w:szCs w:val="22"/>
          <w:lang w:eastAsia="ja-JP"/>
        </w:rPr>
        <w:t xml:space="preserve"> on different BWP.</w:t>
      </w:r>
    </w:p>
    <w:p w14:paraId="14324D37" w14:textId="77777777" w:rsidR="0017003A" w:rsidRDefault="0017003A" w:rsidP="0017003A">
      <w:pPr>
        <w:pStyle w:val="ListParagraph"/>
        <w:spacing w:after="120"/>
        <w:ind w:left="0"/>
        <w:rPr>
          <w:rFonts w:ascii="Times New Roman" w:hAnsi="Times New Roman" w:cs="Times New Roman"/>
          <w:b/>
          <w:bCs/>
          <w:color w:val="000000"/>
          <w:sz w:val="22"/>
          <w:szCs w:val="22"/>
          <w:lang w:eastAsia="ja-JP"/>
        </w:rPr>
      </w:pPr>
      <w:r>
        <w:rPr>
          <w:rFonts w:ascii="Times New Roman" w:hAnsi="Times New Roman" w:cs="Times New Roman"/>
          <w:b/>
          <w:bCs/>
          <w:color w:val="000000"/>
          <w:sz w:val="22"/>
          <w:szCs w:val="22"/>
          <w:lang w:eastAsia="ja-JP"/>
        </w:rPr>
        <w:t xml:space="preserve">Proposal 3: </w:t>
      </w:r>
      <w:r>
        <w:rPr>
          <w:rFonts w:ascii="Times New Roman" w:hAnsi="Times New Roman" w:cs="Times New Roman"/>
          <w:i/>
          <w:iCs/>
          <w:color w:val="000000"/>
          <w:sz w:val="22"/>
          <w:szCs w:val="22"/>
          <w:lang w:eastAsia="ja-JP"/>
        </w:rPr>
        <w:t>In frequency domain, if UL wideband operation with a sub-band bandwidth of 20 MHz is allowed, NR-U should support multiple PRACH resources on multiple sub-bands.</w:t>
      </w:r>
    </w:p>
    <w:p w14:paraId="01F6783A" w14:textId="77777777" w:rsidR="0017003A" w:rsidRDefault="0017003A" w:rsidP="0017003A">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4: </w:t>
      </w:r>
      <w:r w:rsidRPr="001C7C6B">
        <w:rPr>
          <w:rFonts w:ascii="Times New Roman" w:eastAsia="MS Mincho" w:hAnsi="Times New Roman" w:cs="Times New Roman"/>
          <w:color w:val="000000" w:themeColor="text1"/>
          <w:sz w:val="22"/>
          <w:szCs w:val="22"/>
          <w:lang w:eastAsia="ja-JP"/>
        </w:rPr>
        <w:t>The UE sho</w:t>
      </w:r>
      <w:r w:rsidRPr="00384FE3">
        <w:rPr>
          <w:rFonts w:ascii="Times New Roman" w:eastAsia="MS Mincho" w:hAnsi="Times New Roman" w:cs="Times New Roman"/>
          <w:color w:val="000000" w:themeColor="text1"/>
          <w:sz w:val="22"/>
          <w:szCs w:val="22"/>
          <w:lang w:eastAsia="ja-JP"/>
        </w:rPr>
        <w:t>uld be able to select the alternative</w:t>
      </w:r>
      <w:r w:rsidRPr="001C7C6B">
        <w:rPr>
          <w:rFonts w:ascii="Times New Roman" w:eastAsia="MS Mincho" w:hAnsi="Times New Roman" w:cs="Times New Roman"/>
          <w:color w:val="000000" w:themeColor="text1"/>
          <w:sz w:val="22"/>
          <w:szCs w:val="22"/>
          <w:lang w:eastAsia="ja-JP"/>
        </w:rPr>
        <w:t xml:space="preserve"> best beam</w:t>
      </w:r>
      <w:r>
        <w:rPr>
          <w:rFonts w:ascii="Times New Roman" w:eastAsia="MS Mincho" w:hAnsi="Times New Roman" w:cs="Times New Roman"/>
          <w:color w:val="000000" w:themeColor="text1"/>
          <w:sz w:val="22"/>
          <w:szCs w:val="22"/>
          <w:lang w:eastAsia="ja-JP"/>
        </w:rPr>
        <w:t>.</w:t>
      </w:r>
    </w:p>
    <w:p w14:paraId="5279D6EA" w14:textId="77777777" w:rsidR="00384FE3" w:rsidRPr="00A93ADD" w:rsidRDefault="00384FE3" w:rsidP="0004485D">
      <w:pPr>
        <w:pStyle w:val="CommentText"/>
        <w:jc w:val="both"/>
        <w:rPr>
          <w:b/>
        </w:rPr>
      </w:pPr>
    </w:p>
    <w:p w14:paraId="48EAE642" w14:textId="77777777" w:rsidR="00842220" w:rsidRPr="005B50B6" w:rsidRDefault="00842220" w:rsidP="0060389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25C56284" w14:textId="09307EBE" w:rsidR="00F95BF6" w:rsidRPr="00F95BF6" w:rsidRDefault="00F95BF6" w:rsidP="00BC2EFB">
      <w:pPr>
        <w:pStyle w:val="NormalWeb"/>
        <w:numPr>
          <w:ilvl w:val="0"/>
          <w:numId w:val="7"/>
        </w:numPr>
        <w:spacing w:before="0" w:beforeAutospacing="0" w:after="120" w:afterAutospacing="0"/>
        <w:rPr>
          <w:rFonts w:ascii="Times New Roman" w:hAnsi="Times New Roman"/>
          <w:sz w:val="22"/>
          <w:szCs w:val="22"/>
        </w:rPr>
      </w:pPr>
      <w:bookmarkStart w:id="3" w:name="_Ref525827631"/>
      <w:r w:rsidRPr="0017003A">
        <w:rPr>
          <w:rFonts w:ascii="Times New Roman" w:hAnsi="Times New Roman"/>
          <w:sz w:val="22"/>
          <w:szCs w:val="22"/>
        </w:rPr>
        <w:t>RP-182878, New WID on NR-based Access to Unlicensed Spectrum</w:t>
      </w:r>
    </w:p>
    <w:p w14:paraId="2F152C2D" w14:textId="4F0F7206" w:rsidR="00F95BF6" w:rsidRPr="00580B40" w:rsidRDefault="00580B40" w:rsidP="00BC2EFB">
      <w:pPr>
        <w:pStyle w:val="NormalWeb"/>
        <w:numPr>
          <w:ilvl w:val="0"/>
          <w:numId w:val="7"/>
        </w:numPr>
        <w:spacing w:before="0" w:beforeAutospacing="0" w:after="120" w:afterAutospacing="0"/>
        <w:rPr>
          <w:rFonts w:ascii="Times New Roman" w:hAnsi="Times New Roman"/>
          <w:sz w:val="22"/>
          <w:szCs w:val="22"/>
        </w:rPr>
      </w:pPr>
      <w:bookmarkStart w:id="4" w:name="_Ref877622"/>
      <w:bookmarkEnd w:id="3"/>
      <w:r w:rsidRPr="0017003A">
        <w:rPr>
          <w:rFonts w:ascii="Times New Roman" w:hAnsi="Times New Roman"/>
          <w:sz w:val="22"/>
          <w:szCs w:val="22"/>
        </w:rPr>
        <w:t>R2-1816598</w:t>
      </w:r>
      <w:r w:rsidRPr="0017003A">
        <w:rPr>
          <w:rFonts w:ascii="Times New Roman" w:hAnsi="Times New Roman"/>
          <w:sz w:val="22"/>
          <w:szCs w:val="22"/>
        </w:rPr>
        <w:tab/>
        <w:t>Discussion on wideband operation for NR-U</w:t>
      </w:r>
      <w:r w:rsidRPr="0017003A">
        <w:rPr>
          <w:rFonts w:ascii="Times New Roman" w:hAnsi="Times New Roman"/>
          <w:sz w:val="22"/>
          <w:szCs w:val="22"/>
        </w:rPr>
        <w:tab/>
        <w:t xml:space="preserve">Huawei, </w:t>
      </w:r>
      <w:proofErr w:type="spellStart"/>
      <w:r w:rsidRPr="0017003A">
        <w:rPr>
          <w:rFonts w:ascii="Times New Roman" w:hAnsi="Times New Roman"/>
          <w:sz w:val="22"/>
          <w:szCs w:val="22"/>
        </w:rPr>
        <w:t>HiSilicon</w:t>
      </w:r>
      <w:bookmarkEnd w:id="4"/>
      <w:proofErr w:type="spellEnd"/>
      <w:r w:rsidRPr="0017003A">
        <w:rPr>
          <w:rFonts w:ascii="Times New Roman" w:hAnsi="Times New Roman"/>
          <w:sz w:val="22"/>
          <w:szCs w:val="22"/>
        </w:rPr>
        <w:tab/>
      </w:r>
    </w:p>
    <w:p w14:paraId="7678064A" w14:textId="078E9625" w:rsidR="00580B40" w:rsidRDefault="00660655" w:rsidP="00BC2EFB">
      <w:pPr>
        <w:pStyle w:val="NormalWeb"/>
        <w:numPr>
          <w:ilvl w:val="0"/>
          <w:numId w:val="7"/>
        </w:numPr>
        <w:spacing w:before="0" w:beforeAutospacing="0" w:after="120" w:afterAutospacing="0"/>
        <w:rPr>
          <w:rFonts w:ascii="Times New Roman" w:hAnsi="Times New Roman"/>
          <w:sz w:val="22"/>
          <w:szCs w:val="22"/>
        </w:rPr>
      </w:pPr>
      <w:bookmarkStart w:id="5" w:name="_Ref877463"/>
      <w:r w:rsidRPr="0017003A">
        <w:rPr>
          <w:rFonts w:ascii="Times New Roman" w:hAnsi="Times New Roman"/>
          <w:sz w:val="22"/>
          <w:szCs w:val="22"/>
        </w:rPr>
        <w:t>R2-1816828</w:t>
      </w:r>
      <w:r w:rsidRPr="0017003A">
        <w:rPr>
          <w:rFonts w:ascii="Times New Roman" w:hAnsi="Times New Roman"/>
          <w:sz w:val="22"/>
          <w:szCs w:val="22"/>
        </w:rPr>
        <w:tab/>
        <w:t>considerations on BWP for NR-U</w:t>
      </w:r>
      <w:r w:rsidRPr="0017003A">
        <w:rPr>
          <w:rFonts w:ascii="Times New Roman" w:hAnsi="Times New Roman"/>
          <w:sz w:val="22"/>
          <w:szCs w:val="22"/>
        </w:rPr>
        <w:tab/>
        <w:t>ZTE Corporation</w:t>
      </w:r>
      <w:bookmarkEnd w:id="5"/>
    </w:p>
    <w:p w14:paraId="0422B8E0" w14:textId="4D06DFDA" w:rsidR="00965C66" w:rsidRPr="00580B40" w:rsidRDefault="00965C66" w:rsidP="00BC2EFB">
      <w:pPr>
        <w:pStyle w:val="NormalWeb"/>
        <w:numPr>
          <w:ilvl w:val="0"/>
          <w:numId w:val="7"/>
        </w:numPr>
        <w:spacing w:before="0" w:beforeAutospacing="0" w:after="120" w:afterAutospacing="0"/>
        <w:rPr>
          <w:rFonts w:ascii="Times New Roman" w:hAnsi="Times New Roman"/>
          <w:sz w:val="22"/>
          <w:szCs w:val="22"/>
        </w:rPr>
      </w:pPr>
      <w:bookmarkStart w:id="6" w:name="_Ref1032981"/>
      <w:r w:rsidRPr="00965C66">
        <w:rPr>
          <w:rFonts w:ascii="Times New Roman" w:hAnsi="Times New Roman"/>
          <w:sz w:val="22"/>
          <w:szCs w:val="22"/>
        </w:rPr>
        <w:t>R1-1902173, Wideband operation for NR Unlicensed, Rev: R1-1900367</w:t>
      </w:r>
      <w:bookmarkEnd w:id="6"/>
    </w:p>
    <w:sectPr w:rsidR="00965C66" w:rsidRPr="00580B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DCB1B" w14:textId="77777777" w:rsidR="00D121CE" w:rsidRDefault="00D121CE">
      <w:r>
        <w:separator/>
      </w:r>
    </w:p>
  </w:endnote>
  <w:endnote w:type="continuationSeparator" w:id="0">
    <w:p w14:paraId="3672FC4B" w14:textId="77777777" w:rsidR="00D121CE" w:rsidRDefault="00D12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B24AE" w14:textId="77777777" w:rsidR="00D121CE" w:rsidRDefault="00D121CE">
      <w:r>
        <w:separator/>
      </w:r>
    </w:p>
  </w:footnote>
  <w:footnote w:type="continuationSeparator" w:id="0">
    <w:p w14:paraId="5D8D5E7E" w14:textId="77777777" w:rsidR="00D121CE" w:rsidRDefault="00D121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D21CE"/>
    <w:multiLevelType w:val="hybridMultilevel"/>
    <w:tmpl w:val="FD868ADC"/>
    <w:lvl w:ilvl="0" w:tplc="85CC475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717"/>
        </w:tabs>
        <w:ind w:left="714" w:hanging="357"/>
      </w:pPr>
      <w:rPr>
        <w:rFonts w:hint="default"/>
      </w:rPr>
    </w:lvl>
    <w:lvl w:ilvl="1" w:tplc="04090019">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D7BFB"/>
    <w:multiLevelType w:val="hybridMultilevel"/>
    <w:tmpl w:val="42066F90"/>
    <w:lvl w:ilvl="0" w:tplc="597440B0">
      <w:start w:val="1"/>
      <w:numFmt w:val="bullet"/>
      <w:lvlText w:val="•"/>
      <w:lvlJc w:val="left"/>
      <w:pPr>
        <w:tabs>
          <w:tab w:val="num" w:pos="720"/>
        </w:tabs>
        <w:ind w:left="720" w:hanging="360"/>
      </w:pPr>
      <w:rPr>
        <w:rFonts w:ascii="Arial" w:hAnsi="Arial" w:hint="default"/>
      </w:rPr>
    </w:lvl>
    <w:lvl w:ilvl="1" w:tplc="030C3F62">
      <w:start w:val="91"/>
      <w:numFmt w:val="bullet"/>
      <w:lvlText w:val="◦"/>
      <w:lvlJc w:val="left"/>
      <w:pPr>
        <w:tabs>
          <w:tab w:val="num" w:pos="1440"/>
        </w:tabs>
        <w:ind w:left="1440" w:hanging="360"/>
      </w:pPr>
      <w:rPr>
        <w:rFonts w:ascii="Microsoft Sans Serif" w:hAnsi="Microsoft Sans Serif" w:hint="default"/>
      </w:rPr>
    </w:lvl>
    <w:lvl w:ilvl="2" w:tplc="22E635E2" w:tentative="1">
      <w:start w:val="1"/>
      <w:numFmt w:val="bullet"/>
      <w:lvlText w:val="•"/>
      <w:lvlJc w:val="left"/>
      <w:pPr>
        <w:tabs>
          <w:tab w:val="num" w:pos="2160"/>
        </w:tabs>
        <w:ind w:left="2160" w:hanging="360"/>
      </w:pPr>
      <w:rPr>
        <w:rFonts w:ascii="Arial" w:hAnsi="Arial" w:hint="default"/>
      </w:rPr>
    </w:lvl>
    <w:lvl w:ilvl="3" w:tplc="854C2E28" w:tentative="1">
      <w:start w:val="1"/>
      <w:numFmt w:val="bullet"/>
      <w:lvlText w:val="•"/>
      <w:lvlJc w:val="left"/>
      <w:pPr>
        <w:tabs>
          <w:tab w:val="num" w:pos="2880"/>
        </w:tabs>
        <w:ind w:left="2880" w:hanging="360"/>
      </w:pPr>
      <w:rPr>
        <w:rFonts w:ascii="Arial" w:hAnsi="Arial" w:hint="default"/>
      </w:rPr>
    </w:lvl>
    <w:lvl w:ilvl="4" w:tplc="021A190E" w:tentative="1">
      <w:start w:val="1"/>
      <w:numFmt w:val="bullet"/>
      <w:lvlText w:val="•"/>
      <w:lvlJc w:val="left"/>
      <w:pPr>
        <w:tabs>
          <w:tab w:val="num" w:pos="3600"/>
        </w:tabs>
        <w:ind w:left="3600" w:hanging="360"/>
      </w:pPr>
      <w:rPr>
        <w:rFonts w:ascii="Arial" w:hAnsi="Arial" w:hint="default"/>
      </w:rPr>
    </w:lvl>
    <w:lvl w:ilvl="5" w:tplc="7D72FEDA" w:tentative="1">
      <w:start w:val="1"/>
      <w:numFmt w:val="bullet"/>
      <w:lvlText w:val="•"/>
      <w:lvlJc w:val="left"/>
      <w:pPr>
        <w:tabs>
          <w:tab w:val="num" w:pos="4320"/>
        </w:tabs>
        <w:ind w:left="4320" w:hanging="360"/>
      </w:pPr>
      <w:rPr>
        <w:rFonts w:ascii="Arial" w:hAnsi="Arial" w:hint="default"/>
      </w:rPr>
    </w:lvl>
    <w:lvl w:ilvl="6" w:tplc="AB101086" w:tentative="1">
      <w:start w:val="1"/>
      <w:numFmt w:val="bullet"/>
      <w:lvlText w:val="•"/>
      <w:lvlJc w:val="left"/>
      <w:pPr>
        <w:tabs>
          <w:tab w:val="num" w:pos="5040"/>
        </w:tabs>
        <w:ind w:left="5040" w:hanging="360"/>
      </w:pPr>
      <w:rPr>
        <w:rFonts w:ascii="Arial" w:hAnsi="Arial" w:hint="default"/>
      </w:rPr>
    </w:lvl>
    <w:lvl w:ilvl="7" w:tplc="284096CC" w:tentative="1">
      <w:start w:val="1"/>
      <w:numFmt w:val="bullet"/>
      <w:lvlText w:val="•"/>
      <w:lvlJc w:val="left"/>
      <w:pPr>
        <w:tabs>
          <w:tab w:val="num" w:pos="5760"/>
        </w:tabs>
        <w:ind w:left="5760" w:hanging="360"/>
      </w:pPr>
      <w:rPr>
        <w:rFonts w:ascii="Arial" w:hAnsi="Arial" w:hint="default"/>
      </w:rPr>
    </w:lvl>
    <w:lvl w:ilvl="8" w:tplc="9E6868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6"/>
  </w:num>
  <w:num w:numId="4">
    <w:abstractNumId w:val="18"/>
  </w:num>
  <w:num w:numId="5">
    <w:abstractNumId w:val="24"/>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3"/>
  </w:num>
  <w:num w:numId="11">
    <w:abstractNumId w:val="5"/>
  </w:num>
  <w:num w:numId="12">
    <w:abstractNumId w:val="7"/>
  </w:num>
  <w:num w:numId="13">
    <w:abstractNumId w:val="1"/>
  </w:num>
  <w:num w:numId="14">
    <w:abstractNumId w:val="17"/>
  </w:num>
  <w:num w:numId="15">
    <w:abstractNumId w:val="16"/>
  </w:num>
  <w:num w:numId="16">
    <w:abstractNumId w:val="2"/>
  </w:num>
  <w:num w:numId="17">
    <w:abstractNumId w:val="12"/>
  </w:num>
  <w:num w:numId="18">
    <w:abstractNumId w:val="9"/>
  </w:num>
  <w:num w:numId="19">
    <w:abstractNumId w:val="19"/>
  </w:num>
  <w:num w:numId="20">
    <w:abstractNumId w:val="22"/>
  </w:num>
  <w:num w:numId="21">
    <w:abstractNumId w:val="23"/>
  </w:num>
  <w:num w:numId="22">
    <w:abstractNumId w:val="6"/>
  </w:num>
  <w:num w:numId="23">
    <w:abstractNumId w:val="15"/>
  </w:num>
  <w:num w:numId="24">
    <w:abstractNumId w:val="8"/>
  </w:num>
  <w:num w:numId="25">
    <w:abstractNumId w:val="25"/>
  </w:num>
  <w:num w:numId="26">
    <w:abstractNumId w:val="0"/>
  </w:num>
  <w:num w:numId="27">
    <w:abstractNumId w:val="20"/>
  </w:num>
  <w:num w:numId="2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F18"/>
    <w:rsid w:val="0000602F"/>
    <w:rsid w:val="0000608A"/>
    <w:rsid w:val="0000676E"/>
    <w:rsid w:val="00006C43"/>
    <w:rsid w:val="00006C77"/>
    <w:rsid w:val="00006F3B"/>
    <w:rsid w:val="000072B6"/>
    <w:rsid w:val="00007813"/>
    <w:rsid w:val="00007CC3"/>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2C"/>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85D"/>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A4F"/>
    <w:rsid w:val="00063F01"/>
    <w:rsid w:val="00063F42"/>
    <w:rsid w:val="00063F5E"/>
    <w:rsid w:val="00064B7F"/>
    <w:rsid w:val="000657F9"/>
    <w:rsid w:val="00065D38"/>
    <w:rsid w:val="00066416"/>
    <w:rsid w:val="00066DEB"/>
    <w:rsid w:val="000670CF"/>
    <w:rsid w:val="00067571"/>
    <w:rsid w:val="00067904"/>
    <w:rsid w:val="00067DD1"/>
    <w:rsid w:val="000700A5"/>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7BA"/>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070"/>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18F"/>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C87"/>
    <w:rsid w:val="000D3F5E"/>
    <w:rsid w:val="000D4381"/>
    <w:rsid w:val="000D4C4E"/>
    <w:rsid w:val="000D5077"/>
    <w:rsid w:val="000D5362"/>
    <w:rsid w:val="000D5746"/>
    <w:rsid w:val="000D57F8"/>
    <w:rsid w:val="000D5851"/>
    <w:rsid w:val="000D5C52"/>
    <w:rsid w:val="000D5C60"/>
    <w:rsid w:val="000D5D6F"/>
    <w:rsid w:val="000D6130"/>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5C"/>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0D09"/>
    <w:rsid w:val="001112C4"/>
    <w:rsid w:val="0011130B"/>
    <w:rsid w:val="00111444"/>
    <w:rsid w:val="00111723"/>
    <w:rsid w:val="00111EC3"/>
    <w:rsid w:val="001121AE"/>
    <w:rsid w:val="001124F6"/>
    <w:rsid w:val="00112928"/>
    <w:rsid w:val="001129B5"/>
    <w:rsid w:val="001136C0"/>
    <w:rsid w:val="001141E3"/>
    <w:rsid w:val="001144DF"/>
    <w:rsid w:val="00114A64"/>
    <w:rsid w:val="0011557B"/>
    <w:rsid w:val="0011564F"/>
    <w:rsid w:val="001163DF"/>
    <w:rsid w:val="00116711"/>
    <w:rsid w:val="00116806"/>
    <w:rsid w:val="00117269"/>
    <w:rsid w:val="00117C85"/>
    <w:rsid w:val="00120B13"/>
    <w:rsid w:val="00121019"/>
    <w:rsid w:val="00122457"/>
    <w:rsid w:val="001227F5"/>
    <w:rsid w:val="00123538"/>
    <w:rsid w:val="001235B7"/>
    <w:rsid w:val="00124A01"/>
    <w:rsid w:val="00124D84"/>
    <w:rsid w:val="00124FBE"/>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2C5"/>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7003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725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C6B"/>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171"/>
    <w:rsid w:val="001D6567"/>
    <w:rsid w:val="001D695C"/>
    <w:rsid w:val="001D6B88"/>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064E"/>
    <w:rsid w:val="001F1308"/>
    <w:rsid w:val="001F1525"/>
    <w:rsid w:val="001F1663"/>
    <w:rsid w:val="001F172A"/>
    <w:rsid w:val="001F17C2"/>
    <w:rsid w:val="001F1E87"/>
    <w:rsid w:val="001F1EB6"/>
    <w:rsid w:val="001F20D1"/>
    <w:rsid w:val="001F2E23"/>
    <w:rsid w:val="001F341F"/>
    <w:rsid w:val="001F37BB"/>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2A6"/>
    <w:rsid w:val="0020778C"/>
    <w:rsid w:val="00207C7C"/>
    <w:rsid w:val="00210860"/>
    <w:rsid w:val="00210A9E"/>
    <w:rsid w:val="00210B6A"/>
    <w:rsid w:val="002111C2"/>
    <w:rsid w:val="002118BA"/>
    <w:rsid w:val="00212109"/>
    <w:rsid w:val="00212CB6"/>
    <w:rsid w:val="00212E37"/>
    <w:rsid w:val="002140FF"/>
    <w:rsid w:val="00214AEC"/>
    <w:rsid w:val="002156CD"/>
    <w:rsid w:val="002158EA"/>
    <w:rsid w:val="00215AFD"/>
    <w:rsid w:val="00215F7E"/>
    <w:rsid w:val="00216422"/>
    <w:rsid w:val="00216425"/>
    <w:rsid w:val="002170AA"/>
    <w:rsid w:val="00217D5B"/>
    <w:rsid w:val="00217DF2"/>
    <w:rsid w:val="00220894"/>
    <w:rsid w:val="00221005"/>
    <w:rsid w:val="002217BA"/>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2CBB"/>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57D"/>
    <w:rsid w:val="002859AF"/>
    <w:rsid w:val="002860BE"/>
    <w:rsid w:val="002862FE"/>
    <w:rsid w:val="002866BF"/>
    <w:rsid w:val="00286AE7"/>
    <w:rsid w:val="00287243"/>
    <w:rsid w:val="00287917"/>
    <w:rsid w:val="00287D70"/>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4BD"/>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680"/>
    <w:rsid w:val="002B4AD2"/>
    <w:rsid w:val="002B4F94"/>
    <w:rsid w:val="002B538E"/>
    <w:rsid w:val="002B5DCA"/>
    <w:rsid w:val="002B5F93"/>
    <w:rsid w:val="002B6BDC"/>
    <w:rsid w:val="002B7342"/>
    <w:rsid w:val="002B75B0"/>
    <w:rsid w:val="002B7705"/>
    <w:rsid w:val="002B796A"/>
    <w:rsid w:val="002B7EAF"/>
    <w:rsid w:val="002C05B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097"/>
    <w:rsid w:val="00300165"/>
    <w:rsid w:val="0030086B"/>
    <w:rsid w:val="00300883"/>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45EB"/>
    <w:rsid w:val="00315590"/>
    <w:rsid w:val="003155D3"/>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6ED"/>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40022"/>
    <w:rsid w:val="00340061"/>
    <w:rsid w:val="00340313"/>
    <w:rsid w:val="0034081E"/>
    <w:rsid w:val="00340A09"/>
    <w:rsid w:val="00340E8F"/>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770"/>
    <w:rsid w:val="00367B1D"/>
    <w:rsid w:val="0037094E"/>
    <w:rsid w:val="0037098F"/>
    <w:rsid w:val="00370E4F"/>
    <w:rsid w:val="00371215"/>
    <w:rsid w:val="00371FEF"/>
    <w:rsid w:val="00372123"/>
    <w:rsid w:val="00372EFB"/>
    <w:rsid w:val="00372F0D"/>
    <w:rsid w:val="00372F54"/>
    <w:rsid w:val="0037336D"/>
    <w:rsid w:val="0037363A"/>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4FE3"/>
    <w:rsid w:val="003852FB"/>
    <w:rsid w:val="00385429"/>
    <w:rsid w:val="00385B05"/>
    <w:rsid w:val="00385D2A"/>
    <w:rsid w:val="00386382"/>
    <w:rsid w:val="003865CE"/>
    <w:rsid w:val="003865EF"/>
    <w:rsid w:val="00386B5D"/>
    <w:rsid w:val="00386BA9"/>
    <w:rsid w:val="00387AA7"/>
    <w:rsid w:val="00387C8B"/>
    <w:rsid w:val="00390017"/>
    <w:rsid w:val="003901A3"/>
    <w:rsid w:val="0039072F"/>
    <w:rsid w:val="00390F5F"/>
    <w:rsid w:val="00390F60"/>
    <w:rsid w:val="00391B88"/>
    <w:rsid w:val="003940CE"/>
    <w:rsid w:val="003942FE"/>
    <w:rsid w:val="003947C7"/>
    <w:rsid w:val="00394FCF"/>
    <w:rsid w:val="00396949"/>
    <w:rsid w:val="003971B8"/>
    <w:rsid w:val="0039741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D7E"/>
    <w:rsid w:val="003C0043"/>
    <w:rsid w:val="003C04B4"/>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C41"/>
    <w:rsid w:val="003D1DC5"/>
    <w:rsid w:val="003D2855"/>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2A0"/>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527F"/>
    <w:rsid w:val="003F6CD2"/>
    <w:rsid w:val="003F745E"/>
    <w:rsid w:val="003F75FB"/>
    <w:rsid w:val="003F788D"/>
    <w:rsid w:val="003F78C0"/>
    <w:rsid w:val="00400E60"/>
    <w:rsid w:val="0040126E"/>
    <w:rsid w:val="0040182C"/>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7C1"/>
    <w:rsid w:val="00416A67"/>
    <w:rsid w:val="00416ACB"/>
    <w:rsid w:val="00416C1C"/>
    <w:rsid w:val="0041720C"/>
    <w:rsid w:val="0041727F"/>
    <w:rsid w:val="00417885"/>
    <w:rsid w:val="00420227"/>
    <w:rsid w:val="004211C6"/>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5796D"/>
    <w:rsid w:val="00460CC3"/>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FE"/>
    <w:rsid w:val="00467468"/>
    <w:rsid w:val="00467488"/>
    <w:rsid w:val="00467D22"/>
    <w:rsid w:val="004700A6"/>
    <w:rsid w:val="004703E9"/>
    <w:rsid w:val="0047069F"/>
    <w:rsid w:val="0047083E"/>
    <w:rsid w:val="00470C11"/>
    <w:rsid w:val="00470EB5"/>
    <w:rsid w:val="004711D4"/>
    <w:rsid w:val="004719AB"/>
    <w:rsid w:val="0047256D"/>
    <w:rsid w:val="0047286B"/>
    <w:rsid w:val="0047286D"/>
    <w:rsid w:val="00472E27"/>
    <w:rsid w:val="00472E84"/>
    <w:rsid w:val="004734F2"/>
    <w:rsid w:val="0047378C"/>
    <w:rsid w:val="00473881"/>
    <w:rsid w:val="00474220"/>
    <w:rsid w:val="0047428C"/>
    <w:rsid w:val="0047444F"/>
    <w:rsid w:val="00474C39"/>
    <w:rsid w:val="004752D3"/>
    <w:rsid w:val="004754E1"/>
    <w:rsid w:val="00475528"/>
    <w:rsid w:val="00475AFF"/>
    <w:rsid w:val="00475CE0"/>
    <w:rsid w:val="0047658C"/>
    <w:rsid w:val="004766D9"/>
    <w:rsid w:val="00476827"/>
    <w:rsid w:val="00476BD4"/>
    <w:rsid w:val="00477C35"/>
    <w:rsid w:val="00480988"/>
    <w:rsid w:val="00480E05"/>
    <w:rsid w:val="00480F2F"/>
    <w:rsid w:val="004813F8"/>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BCA"/>
    <w:rsid w:val="00496CF5"/>
    <w:rsid w:val="00496F05"/>
    <w:rsid w:val="00497370"/>
    <w:rsid w:val="00497C5D"/>
    <w:rsid w:val="004A031B"/>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919"/>
    <w:rsid w:val="004C0DC5"/>
    <w:rsid w:val="004C0DF4"/>
    <w:rsid w:val="004C1840"/>
    <w:rsid w:val="004C19A3"/>
    <w:rsid w:val="004C20B9"/>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617"/>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B4D"/>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3C"/>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38F7"/>
    <w:rsid w:val="00564A45"/>
    <w:rsid w:val="005651D3"/>
    <w:rsid w:val="00565377"/>
    <w:rsid w:val="00565379"/>
    <w:rsid w:val="005653EA"/>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8F1"/>
    <w:rsid w:val="00580B40"/>
    <w:rsid w:val="00580E48"/>
    <w:rsid w:val="00580EA7"/>
    <w:rsid w:val="00580F0A"/>
    <w:rsid w:val="00581246"/>
    <w:rsid w:val="00582BD4"/>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659"/>
    <w:rsid w:val="00585F5B"/>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4BB"/>
    <w:rsid w:val="005B3D30"/>
    <w:rsid w:val="005B3D4A"/>
    <w:rsid w:val="005B4D87"/>
    <w:rsid w:val="005B50B6"/>
    <w:rsid w:val="005B5A46"/>
    <w:rsid w:val="005B6993"/>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8ED"/>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D34"/>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4EF5"/>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15A"/>
    <w:rsid w:val="00636943"/>
    <w:rsid w:val="00637240"/>
    <w:rsid w:val="006406C4"/>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0655"/>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36D"/>
    <w:rsid w:val="00681B36"/>
    <w:rsid w:val="0068252F"/>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09D"/>
    <w:rsid w:val="006A010B"/>
    <w:rsid w:val="006A0F70"/>
    <w:rsid w:val="006A11A1"/>
    <w:rsid w:val="006A254E"/>
    <w:rsid w:val="006A26C6"/>
    <w:rsid w:val="006A2C30"/>
    <w:rsid w:val="006A301C"/>
    <w:rsid w:val="006A301E"/>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E3A"/>
    <w:rsid w:val="006C6FD7"/>
    <w:rsid w:val="006C7261"/>
    <w:rsid w:val="006D00DB"/>
    <w:rsid w:val="006D0361"/>
    <w:rsid w:val="006D054B"/>
    <w:rsid w:val="006D0810"/>
    <w:rsid w:val="006D0B16"/>
    <w:rsid w:val="006D0B31"/>
    <w:rsid w:val="006D0D75"/>
    <w:rsid w:val="006D0E02"/>
    <w:rsid w:val="006D1360"/>
    <w:rsid w:val="006D16B0"/>
    <w:rsid w:val="006D194E"/>
    <w:rsid w:val="006D2182"/>
    <w:rsid w:val="006D2444"/>
    <w:rsid w:val="006D254B"/>
    <w:rsid w:val="006D289B"/>
    <w:rsid w:val="006D29DC"/>
    <w:rsid w:val="006D2CD1"/>
    <w:rsid w:val="006D2EB7"/>
    <w:rsid w:val="006D368A"/>
    <w:rsid w:val="006D3BE1"/>
    <w:rsid w:val="006D43BD"/>
    <w:rsid w:val="006D48FC"/>
    <w:rsid w:val="006D4D42"/>
    <w:rsid w:val="006D59E6"/>
    <w:rsid w:val="006D5A78"/>
    <w:rsid w:val="006D5FAD"/>
    <w:rsid w:val="006D613A"/>
    <w:rsid w:val="006D62BC"/>
    <w:rsid w:val="006D6450"/>
    <w:rsid w:val="006D6626"/>
    <w:rsid w:val="006D6939"/>
    <w:rsid w:val="006D6987"/>
    <w:rsid w:val="006D6AA3"/>
    <w:rsid w:val="006D6DA3"/>
    <w:rsid w:val="006D7040"/>
    <w:rsid w:val="006D74DE"/>
    <w:rsid w:val="006D74F3"/>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456"/>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BF7"/>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A98"/>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A27"/>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24E"/>
    <w:rsid w:val="00727530"/>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1AB"/>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0467"/>
    <w:rsid w:val="00750C69"/>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1E9"/>
    <w:rsid w:val="00783207"/>
    <w:rsid w:val="00783E1D"/>
    <w:rsid w:val="007843CE"/>
    <w:rsid w:val="0078483B"/>
    <w:rsid w:val="00784EED"/>
    <w:rsid w:val="00785077"/>
    <w:rsid w:val="00785900"/>
    <w:rsid w:val="007861DF"/>
    <w:rsid w:val="00786958"/>
    <w:rsid w:val="00786C49"/>
    <w:rsid w:val="00786E71"/>
    <w:rsid w:val="0078781A"/>
    <w:rsid w:val="00787F8E"/>
    <w:rsid w:val="007909F4"/>
    <w:rsid w:val="0079162F"/>
    <w:rsid w:val="00791C4C"/>
    <w:rsid w:val="00791F39"/>
    <w:rsid w:val="0079262F"/>
    <w:rsid w:val="0079344C"/>
    <w:rsid w:val="00793539"/>
    <w:rsid w:val="00793985"/>
    <w:rsid w:val="00793AC7"/>
    <w:rsid w:val="0079468D"/>
    <w:rsid w:val="00794924"/>
    <w:rsid w:val="00794A69"/>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055A"/>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766"/>
    <w:rsid w:val="007F3ECA"/>
    <w:rsid w:val="007F3EDD"/>
    <w:rsid w:val="007F443C"/>
    <w:rsid w:val="007F50CE"/>
    <w:rsid w:val="007F5FA5"/>
    <w:rsid w:val="007F6880"/>
    <w:rsid w:val="007F69F1"/>
    <w:rsid w:val="007F70DF"/>
    <w:rsid w:val="007F7237"/>
    <w:rsid w:val="007F76B4"/>
    <w:rsid w:val="007F76E4"/>
    <w:rsid w:val="007F77D0"/>
    <w:rsid w:val="008001B4"/>
    <w:rsid w:val="0080041F"/>
    <w:rsid w:val="008005EE"/>
    <w:rsid w:val="00800769"/>
    <w:rsid w:val="00800ED2"/>
    <w:rsid w:val="00801CAD"/>
    <w:rsid w:val="00802212"/>
    <w:rsid w:val="0080237E"/>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B0D"/>
    <w:rsid w:val="00832F5C"/>
    <w:rsid w:val="0083300B"/>
    <w:rsid w:val="00833107"/>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0B2"/>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044E"/>
    <w:rsid w:val="0087126C"/>
    <w:rsid w:val="008712FD"/>
    <w:rsid w:val="008713EB"/>
    <w:rsid w:val="008716A1"/>
    <w:rsid w:val="00871704"/>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268"/>
    <w:rsid w:val="00881FA0"/>
    <w:rsid w:val="00882788"/>
    <w:rsid w:val="008833E8"/>
    <w:rsid w:val="008846C5"/>
    <w:rsid w:val="008846F1"/>
    <w:rsid w:val="008850E4"/>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266E"/>
    <w:rsid w:val="008B29A0"/>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163"/>
    <w:rsid w:val="008C76EC"/>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478"/>
    <w:rsid w:val="00903802"/>
    <w:rsid w:val="00903D3F"/>
    <w:rsid w:val="00904249"/>
    <w:rsid w:val="009047C2"/>
    <w:rsid w:val="00905066"/>
    <w:rsid w:val="0090515C"/>
    <w:rsid w:val="0090521A"/>
    <w:rsid w:val="0090533F"/>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2967"/>
    <w:rsid w:val="00912F60"/>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22"/>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209"/>
    <w:rsid w:val="0096046E"/>
    <w:rsid w:val="00961160"/>
    <w:rsid w:val="009611D2"/>
    <w:rsid w:val="00961D3E"/>
    <w:rsid w:val="009630BB"/>
    <w:rsid w:val="0096332D"/>
    <w:rsid w:val="00963E2B"/>
    <w:rsid w:val="00964718"/>
    <w:rsid w:val="00964C06"/>
    <w:rsid w:val="00964D65"/>
    <w:rsid w:val="0096502A"/>
    <w:rsid w:val="009657F1"/>
    <w:rsid w:val="00965A0C"/>
    <w:rsid w:val="00965B14"/>
    <w:rsid w:val="00965C66"/>
    <w:rsid w:val="0096625D"/>
    <w:rsid w:val="00966B03"/>
    <w:rsid w:val="00966CE3"/>
    <w:rsid w:val="00966FA6"/>
    <w:rsid w:val="0096787C"/>
    <w:rsid w:val="0096789B"/>
    <w:rsid w:val="00967E1F"/>
    <w:rsid w:val="009705FB"/>
    <w:rsid w:val="00970634"/>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3EC7"/>
    <w:rsid w:val="009A483C"/>
    <w:rsid w:val="009A4869"/>
    <w:rsid w:val="009A4D04"/>
    <w:rsid w:val="009A505F"/>
    <w:rsid w:val="009A532E"/>
    <w:rsid w:val="009A6A6B"/>
    <w:rsid w:val="009A791C"/>
    <w:rsid w:val="009B1E81"/>
    <w:rsid w:val="009B1EF9"/>
    <w:rsid w:val="009B1F0A"/>
    <w:rsid w:val="009B2090"/>
    <w:rsid w:val="009B2444"/>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D3E"/>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8B8"/>
    <w:rsid w:val="009E3AFD"/>
    <w:rsid w:val="009E3CDD"/>
    <w:rsid w:val="009E41BD"/>
    <w:rsid w:val="009E4B16"/>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07D39"/>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6BE"/>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C02"/>
    <w:rsid w:val="00A52D7D"/>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592"/>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73B"/>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5FCA"/>
    <w:rsid w:val="00A761F1"/>
    <w:rsid w:val="00A7627C"/>
    <w:rsid w:val="00A76792"/>
    <w:rsid w:val="00A76AC9"/>
    <w:rsid w:val="00A770F2"/>
    <w:rsid w:val="00A77A72"/>
    <w:rsid w:val="00A77B49"/>
    <w:rsid w:val="00A77D2C"/>
    <w:rsid w:val="00A77DDD"/>
    <w:rsid w:val="00A77F53"/>
    <w:rsid w:val="00A803D5"/>
    <w:rsid w:val="00A8056E"/>
    <w:rsid w:val="00A8095B"/>
    <w:rsid w:val="00A80ADE"/>
    <w:rsid w:val="00A8100D"/>
    <w:rsid w:val="00A8240A"/>
    <w:rsid w:val="00A8253A"/>
    <w:rsid w:val="00A82907"/>
    <w:rsid w:val="00A829FA"/>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ADD"/>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6BD3"/>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903"/>
    <w:rsid w:val="00AE6A0F"/>
    <w:rsid w:val="00AE6DC7"/>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4FC"/>
    <w:rsid w:val="00B026C1"/>
    <w:rsid w:val="00B027A7"/>
    <w:rsid w:val="00B02B9C"/>
    <w:rsid w:val="00B0353B"/>
    <w:rsid w:val="00B040B2"/>
    <w:rsid w:val="00B04261"/>
    <w:rsid w:val="00B050E9"/>
    <w:rsid w:val="00B05CBB"/>
    <w:rsid w:val="00B05F7A"/>
    <w:rsid w:val="00B062D2"/>
    <w:rsid w:val="00B07468"/>
    <w:rsid w:val="00B074D5"/>
    <w:rsid w:val="00B0799F"/>
    <w:rsid w:val="00B07AE3"/>
    <w:rsid w:val="00B07F59"/>
    <w:rsid w:val="00B104CB"/>
    <w:rsid w:val="00B10558"/>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CAC"/>
    <w:rsid w:val="00B1715E"/>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0D4"/>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851"/>
    <w:rsid w:val="00B35C20"/>
    <w:rsid w:val="00B35CDA"/>
    <w:rsid w:val="00B361CE"/>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9D6"/>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B30"/>
    <w:rsid w:val="00B71DC8"/>
    <w:rsid w:val="00B72A0D"/>
    <w:rsid w:val="00B74251"/>
    <w:rsid w:val="00B7455A"/>
    <w:rsid w:val="00B746C6"/>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2EFB"/>
    <w:rsid w:val="00BC307F"/>
    <w:rsid w:val="00BC3159"/>
    <w:rsid w:val="00BC3257"/>
    <w:rsid w:val="00BC37A1"/>
    <w:rsid w:val="00BC39DB"/>
    <w:rsid w:val="00BC3A32"/>
    <w:rsid w:val="00BC46EF"/>
    <w:rsid w:val="00BC4BBF"/>
    <w:rsid w:val="00BC5F26"/>
    <w:rsid w:val="00BC6164"/>
    <w:rsid w:val="00BC6892"/>
    <w:rsid w:val="00BC6AA1"/>
    <w:rsid w:val="00BC6FD6"/>
    <w:rsid w:val="00BC79F4"/>
    <w:rsid w:val="00BD008E"/>
    <w:rsid w:val="00BD0982"/>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E7D"/>
    <w:rsid w:val="00C06EA5"/>
    <w:rsid w:val="00C07010"/>
    <w:rsid w:val="00C07579"/>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616"/>
    <w:rsid w:val="00C159F5"/>
    <w:rsid w:val="00C162DC"/>
    <w:rsid w:val="00C16699"/>
    <w:rsid w:val="00C16825"/>
    <w:rsid w:val="00C16C30"/>
    <w:rsid w:val="00C17299"/>
    <w:rsid w:val="00C17437"/>
    <w:rsid w:val="00C1757B"/>
    <w:rsid w:val="00C17DA6"/>
    <w:rsid w:val="00C20239"/>
    <w:rsid w:val="00C20345"/>
    <w:rsid w:val="00C20A00"/>
    <w:rsid w:val="00C20F87"/>
    <w:rsid w:val="00C21673"/>
    <w:rsid w:val="00C21729"/>
    <w:rsid w:val="00C21C7A"/>
    <w:rsid w:val="00C2205C"/>
    <w:rsid w:val="00C22D9A"/>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BF8"/>
    <w:rsid w:val="00C64C36"/>
    <w:rsid w:val="00C654E0"/>
    <w:rsid w:val="00C65C5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660"/>
    <w:rsid w:val="00CA5822"/>
    <w:rsid w:val="00CA5858"/>
    <w:rsid w:val="00CA59DD"/>
    <w:rsid w:val="00CA6103"/>
    <w:rsid w:val="00CA633D"/>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C74"/>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89E"/>
    <w:rsid w:val="00CF19DA"/>
    <w:rsid w:val="00CF1B7A"/>
    <w:rsid w:val="00CF1C7F"/>
    <w:rsid w:val="00CF1CC0"/>
    <w:rsid w:val="00CF1DBA"/>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1CE"/>
    <w:rsid w:val="00D12293"/>
    <w:rsid w:val="00D12336"/>
    <w:rsid w:val="00D131DC"/>
    <w:rsid w:val="00D138F8"/>
    <w:rsid w:val="00D13B13"/>
    <w:rsid w:val="00D13F4A"/>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4FC6"/>
    <w:rsid w:val="00D45748"/>
    <w:rsid w:val="00D45B94"/>
    <w:rsid w:val="00D45BC9"/>
    <w:rsid w:val="00D45DF3"/>
    <w:rsid w:val="00D46174"/>
    <w:rsid w:val="00D46182"/>
    <w:rsid w:val="00D461DC"/>
    <w:rsid w:val="00D47DD0"/>
    <w:rsid w:val="00D50183"/>
    <w:rsid w:val="00D50579"/>
    <w:rsid w:val="00D51589"/>
    <w:rsid w:val="00D51D12"/>
    <w:rsid w:val="00D52D3E"/>
    <w:rsid w:val="00D53348"/>
    <w:rsid w:val="00D5362B"/>
    <w:rsid w:val="00D5378E"/>
    <w:rsid w:val="00D54449"/>
    <w:rsid w:val="00D54CD8"/>
    <w:rsid w:val="00D54F03"/>
    <w:rsid w:val="00D55072"/>
    <w:rsid w:val="00D551B5"/>
    <w:rsid w:val="00D55CEB"/>
    <w:rsid w:val="00D564AD"/>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BA8"/>
    <w:rsid w:val="00D84ECC"/>
    <w:rsid w:val="00D851AB"/>
    <w:rsid w:val="00D854EC"/>
    <w:rsid w:val="00D857B8"/>
    <w:rsid w:val="00D85D1E"/>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20BC"/>
    <w:rsid w:val="00DA27B3"/>
    <w:rsid w:val="00DA2C0E"/>
    <w:rsid w:val="00DA2ED7"/>
    <w:rsid w:val="00DA3520"/>
    <w:rsid w:val="00DA37F9"/>
    <w:rsid w:val="00DA3E7A"/>
    <w:rsid w:val="00DA430C"/>
    <w:rsid w:val="00DA4603"/>
    <w:rsid w:val="00DA4A52"/>
    <w:rsid w:val="00DA4FBE"/>
    <w:rsid w:val="00DA509C"/>
    <w:rsid w:val="00DA5124"/>
    <w:rsid w:val="00DA60D9"/>
    <w:rsid w:val="00DA615D"/>
    <w:rsid w:val="00DA6363"/>
    <w:rsid w:val="00DA6598"/>
    <w:rsid w:val="00DA6C0F"/>
    <w:rsid w:val="00DA702F"/>
    <w:rsid w:val="00DA732D"/>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53FA"/>
    <w:rsid w:val="00DD5918"/>
    <w:rsid w:val="00DD5F0D"/>
    <w:rsid w:val="00DD5F37"/>
    <w:rsid w:val="00DD5F42"/>
    <w:rsid w:val="00DD60B6"/>
    <w:rsid w:val="00DD617B"/>
    <w:rsid w:val="00DD6346"/>
    <w:rsid w:val="00DD6B09"/>
    <w:rsid w:val="00DD6CCF"/>
    <w:rsid w:val="00DD6D1A"/>
    <w:rsid w:val="00DD7486"/>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6DFA"/>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1FF"/>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758"/>
    <w:rsid w:val="00E11F0C"/>
    <w:rsid w:val="00E1214E"/>
    <w:rsid w:val="00E121C1"/>
    <w:rsid w:val="00E1243D"/>
    <w:rsid w:val="00E1338D"/>
    <w:rsid w:val="00E14946"/>
    <w:rsid w:val="00E14A42"/>
    <w:rsid w:val="00E14A7E"/>
    <w:rsid w:val="00E14D85"/>
    <w:rsid w:val="00E151E1"/>
    <w:rsid w:val="00E15B44"/>
    <w:rsid w:val="00E163A5"/>
    <w:rsid w:val="00E16680"/>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4A2"/>
    <w:rsid w:val="00E51DDD"/>
    <w:rsid w:val="00E51FDD"/>
    <w:rsid w:val="00E522CB"/>
    <w:rsid w:val="00E52435"/>
    <w:rsid w:val="00E52D7F"/>
    <w:rsid w:val="00E53122"/>
    <w:rsid w:val="00E5316E"/>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7B9"/>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231D"/>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339"/>
    <w:rsid w:val="00EC069D"/>
    <w:rsid w:val="00EC25CF"/>
    <w:rsid w:val="00EC2651"/>
    <w:rsid w:val="00EC2CDE"/>
    <w:rsid w:val="00EC2D00"/>
    <w:rsid w:val="00EC2E2D"/>
    <w:rsid w:val="00EC37AD"/>
    <w:rsid w:val="00EC462B"/>
    <w:rsid w:val="00EC4723"/>
    <w:rsid w:val="00EC56E0"/>
    <w:rsid w:val="00EC6057"/>
    <w:rsid w:val="00EC6847"/>
    <w:rsid w:val="00EC6DC1"/>
    <w:rsid w:val="00EC743C"/>
    <w:rsid w:val="00EC7534"/>
    <w:rsid w:val="00EC770F"/>
    <w:rsid w:val="00EC7C8E"/>
    <w:rsid w:val="00EC7DB6"/>
    <w:rsid w:val="00ED01CD"/>
    <w:rsid w:val="00ED0B07"/>
    <w:rsid w:val="00ED162F"/>
    <w:rsid w:val="00ED1E6D"/>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1D7"/>
    <w:rsid w:val="00F123AF"/>
    <w:rsid w:val="00F127BA"/>
    <w:rsid w:val="00F12A51"/>
    <w:rsid w:val="00F12EB7"/>
    <w:rsid w:val="00F13087"/>
    <w:rsid w:val="00F13097"/>
    <w:rsid w:val="00F13376"/>
    <w:rsid w:val="00F133A1"/>
    <w:rsid w:val="00F1368F"/>
    <w:rsid w:val="00F13ECD"/>
    <w:rsid w:val="00F14328"/>
    <w:rsid w:val="00F150A0"/>
    <w:rsid w:val="00F155CE"/>
    <w:rsid w:val="00F156C0"/>
    <w:rsid w:val="00F17166"/>
    <w:rsid w:val="00F174FA"/>
    <w:rsid w:val="00F17610"/>
    <w:rsid w:val="00F17EAE"/>
    <w:rsid w:val="00F17F4D"/>
    <w:rsid w:val="00F2006A"/>
    <w:rsid w:val="00F205F2"/>
    <w:rsid w:val="00F218D4"/>
    <w:rsid w:val="00F2250A"/>
    <w:rsid w:val="00F22738"/>
    <w:rsid w:val="00F22B37"/>
    <w:rsid w:val="00F2307B"/>
    <w:rsid w:val="00F238DC"/>
    <w:rsid w:val="00F24574"/>
    <w:rsid w:val="00F24788"/>
    <w:rsid w:val="00F24A06"/>
    <w:rsid w:val="00F24DEB"/>
    <w:rsid w:val="00F250AB"/>
    <w:rsid w:val="00F2578E"/>
    <w:rsid w:val="00F259D3"/>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6F5D"/>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39E"/>
    <w:rsid w:val="00F516D4"/>
    <w:rsid w:val="00F51E76"/>
    <w:rsid w:val="00F5270F"/>
    <w:rsid w:val="00F5283D"/>
    <w:rsid w:val="00F52ABA"/>
    <w:rsid w:val="00F52BC7"/>
    <w:rsid w:val="00F5315C"/>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B5"/>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42C"/>
    <w:rsid w:val="00F931C7"/>
    <w:rsid w:val="00F93559"/>
    <w:rsid w:val="00F93D72"/>
    <w:rsid w:val="00F93E65"/>
    <w:rsid w:val="00F94070"/>
    <w:rsid w:val="00F946FF"/>
    <w:rsid w:val="00F950B5"/>
    <w:rsid w:val="00F9513F"/>
    <w:rsid w:val="00F95BF6"/>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1D8"/>
    <w:rsid w:val="00FA27C8"/>
    <w:rsid w:val="00FA2C40"/>
    <w:rsid w:val="00FA2D4C"/>
    <w:rsid w:val="00FA2D56"/>
    <w:rsid w:val="00FA329F"/>
    <w:rsid w:val="00FA359C"/>
    <w:rsid w:val="00FA3B76"/>
    <w:rsid w:val="00FA3F02"/>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467"/>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087E"/>
    <w:rsid w:val="00FD1167"/>
    <w:rsid w:val="00FD1A97"/>
    <w:rsid w:val="00FD1AC4"/>
    <w:rsid w:val="00FD2D7B"/>
    <w:rsid w:val="00FD3291"/>
    <w:rsid w:val="00FD37F6"/>
    <w:rsid w:val="00FD4589"/>
    <w:rsid w:val="00FD46DF"/>
    <w:rsid w:val="00FD473E"/>
    <w:rsid w:val="00FD548D"/>
    <w:rsid w:val="00FD55CC"/>
    <w:rsid w:val="00FD57C1"/>
    <w:rsid w:val="00FD59E0"/>
    <w:rsid w:val="00FD5F6D"/>
    <w:rsid w:val="00FD6279"/>
    <w:rsid w:val="00FD78E6"/>
    <w:rsid w:val="00FD7A5E"/>
    <w:rsid w:val="00FD7DF9"/>
    <w:rsid w:val="00FE0B51"/>
    <w:rsid w:val="00FE0B78"/>
    <w:rsid w:val="00FE0D8D"/>
    <w:rsid w:val="00FE0ED4"/>
    <w:rsid w:val="00FE125F"/>
    <w:rsid w:val="00FE16DD"/>
    <w:rsid w:val="00FE1EAB"/>
    <w:rsid w:val="00FE1F4B"/>
    <w:rsid w:val="00FE27D8"/>
    <w:rsid w:val="00FE2AB3"/>
    <w:rsid w:val="00FE2F08"/>
    <w:rsid w:val="00FE3465"/>
    <w:rsid w:val="00FE3B65"/>
    <w:rsid w:val="00FE3C68"/>
    <w:rsid w:val="00FE46B5"/>
    <w:rsid w:val="00FE51F6"/>
    <w:rsid w:val="00FE52B9"/>
    <w:rsid w:val="00FE590D"/>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3EC8"/>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836CEC15-F2E5-40C7-9698-C4D929B8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uiPriority w:val="99"/>
    <w:rsid w:val="0076357A"/>
    <w:pPr>
      <w:jc w:val="left"/>
    </w:pPr>
  </w:style>
  <w:style w:type="character" w:customStyle="1" w:styleId="CommentTextChar">
    <w:name w:val="Comment Text Char"/>
    <w:basedOn w:val="DefaultParagraphFont"/>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 ??,?????,????,Lista1,列出段落,목록 단락,列出段落1,中等深浅网格 1 - 着色 2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uiPriority w:val="99"/>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styleId="TOC8">
    <w:name w:val="toc 8"/>
    <w:basedOn w:val="Normal"/>
    <w:next w:val="Normal"/>
    <w:autoRedefine/>
    <w:semiHidden/>
    <w:unhideWhenUsed/>
    <w:rsid w:val="00D26F78"/>
    <w:pPr>
      <w:ind w:leftChars="1400" w:left="2940"/>
    </w:pPr>
  </w:style>
  <w:style w:type="paragraph" w:customStyle="1" w:styleId="LGTdoc">
    <w:name w:val="LGTdoc_본문"/>
    <w:basedOn w:val="Normal"/>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Doc-titleChar">
    <w:name w:val="Doc-title Char"/>
    <w:link w:val="Doc-title"/>
    <w:locked/>
    <w:rsid w:val="00467D22"/>
    <w:rPr>
      <w:rFonts w:ascii="Arial" w:eastAsia="MS Mincho" w:hAnsi="Arial" w:cs="Arial"/>
      <w:szCs w:val="24"/>
      <w:lang w:val="en-GB" w:eastAsia="en-GB"/>
    </w:rPr>
  </w:style>
  <w:style w:type="paragraph" w:customStyle="1" w:styleId="Doc-title">
    <w:name w:val="Doc-title"/>
    <w:basedOn w:val="Normal"/>
    <w:next w:val="Doc-text2"/>
    <w:link w:val="Doc-titleChar"/>
    <w:qFormat/>
    <w:rsid w:val="00467D22"/>
    <w:pPr>
      <w:autoSpaceDE/>
      <w:autoSpaceDN/>
      <w:adjustRightInd/>
      <w:snapToGrid/>
      <w:spacing w:before="180" w:after="0"/>
      <w:ind w:left="1259" w:hanging="1259"/>
      <w:jc w:val="left"/>
    </w:pPr>
    <w:rPr>
      <w:rFonts w:ascii="Arial" w:eastAsia="MS Mincho" w:hAnsi="Arial" w:cs="Arial"/>
      <w:sz w:val="20"/>
      <w:szCs w:val="24"/>
      <w:lang w:val="en-GB" w:eastAsia="en-GB"/>
    </w:rPr>
  </w:style>
  <w:style w:type="paragraph" w:customStyle="1" w:styleId="Agreement">
    <w:name w:val="Agreement"/>
    <w:basedOn w:val="Normal"/>
    <w:next w:val="Doc-text2"/>
    <w:rsid w:val="00ED1E6D"/>
    <w:pPr>
      <w:numPr>
        <w:numId w:val="25"/>
      </w:numPr>
      <w:autoSpaceDE/>
      <w:autoSpaceDN/>
      <w:adjustRightInd/>
      <w:snapToGrid/>
      <w:spacing w:before="60" w:after="0"/>
      <w:jc w:val="left"/>
    </w:pPr>
    <w:rPr>
      <w:rFonts w:ascii="Arial" w:eastAsia="MS Mincho" w:hAnsi="Arial"/>
      <w:b/>
      <w:sz w:val="20"/>
      <w:szCs w:val="24"/>
      <w:lang w:val="en-GB" w:eastAsia="en-GB"/>
    </w:rPr>
  </w:style>
  <w:style w:type="character" w:customStyle="1" w:styleId="a">
    <w:name w:val="テキスト (文字)"/>
    <w:link w:val="a0"/>
    <w:locked/>
    <w:rsid w:val="001227F5"/>
    <w:rPr>
      <w:rFonts w:ascii="Century" w:hAnsi="Century"/>
      <w:kern w:val="2"/>
      <w:sz w:val="21"/>
      <w:szCs w:val="22"/>
      <w:lang w:val="en-GB"/>
    </w:rPr>
  </w:style>
  <w:style w:type="paragraph" w:customStyle="1" w:styleId="a0">
    <w:name w:val="テキスト"/>
    <w:basedOn w:val="Normal"/>
    <w:link w:val="a"/>
    <w:qFormat/>
    <w:rsid w:val="001227F5"/>
    <w:pPr>
      <w:widowControl w:val="0"/>
      <w:autoSpaceDE/>
      <w:autoSpaceDN/>
      <w:adjustRightInd/>
      <w:snapToGrid/>
      <w:spacing w:afterLines="50" w:after="0" w:line="320" w:lineRule="exact"/>
      <w:ind w:firstLineChars="100" w:firstLine="210"/>
    </w:pPr>
    <w:rPr>
      <w:rFonts w:ascii="Century" w:hAnsi="Century"/>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3708948">
      <w:bodyDiv w:val="1"/>
      <w:marLeft w:val="0"/>
      <w:marRight w:val="0"/>
      <w:marTop w:val="0"/>
      <w:marBottom w:val="0"/>
      <w:divBdr>
        <w:top w:val="none" w:sz="0" w:space="0" w:color="auto"/>
        <w:left w:val="none" w:sz="0" w:space="0" w:color="auto"/>
        <w:bottom w:val="none" w:sz="0" w:space="0" w:color="auto"/>
        <w:right w:val="none" w:sz="0" w:space="0" w:color="auto"/>
      </w:divBdr>
      <w:divsChild>
        <w:div w:id="141700103">
          <w:marLeft w:val="274"/>
          <w:marRight w:val="0"/>
          <w:marTop w:val="240"/>
          <w:marBottom w:val="0"/>
          <w:divBdr>
            <w:top w:val="none" w:sz="0" w:space="0" w:color="auto"/>
            <w:left w:val="none" w:sz="0" w:space="0" w:color="auto"/>
            <w:bottom w:val="none" w:sz="0" w:space="0" w:color="auto"/>
            <w:right w:val="none" w:sz="0" w:space="0" w:color="auto"/>
          </w:divBdr>
        </w:div>
        <w:div w:id="1156334000">
          <w:marLeft w:val="274"/>
          <w:marRight w:val="0"/>
          <w:marTop w:val="240"/>
          <w:marBottom w:val="0"/>
          <w:divBdr>
            <w:top w:val="none" w:sz="0" w:space="0" w:color="auto"/>
            <w:left w:val="none" w:sz="0" w:space="0" w:color="auto"/>
            <w:bottom w:val="none" w:sz="0" w:space="0" w:color="auto"/>
            <w:right w:val="none" w:sz="0" w:space="0" w:color="auto"/>
          </w:divBdr>
        </w:div>
        <w:div w:id="1895508425">
          <w:marLeft w:val="533"/>
          <w:marRight w:val="0"/>
          <w:marTop w:val="0"/>
          <w:marBottom w:val="0"/>
          <w:divBdr>
            <w:top w:val="none" w:sz="0" w:space="0" w:color="auto"/>
            <w:left w:val="none" w:sz="0" w:space="0" w:color="auto"/>
            <w:bottom w:val="none" w:sz="0" w:space="0" w:color="auto"/>
            <w:right w:val="none" w:sz="0" w:space="0" w:color="auto"/>
          </w:divBdr>
        </w:div>
        <w:div w:id="123163244">
          <w:marLeft w:val="274"/>
          <w:marRight w:val="0"/>
          <w:marTop w:val="24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38649784">
      <w:bodyDiv w:val="1"/>
      <w:marLeft w:val="0"/>
      <w:marRight w:val="0"/>
      <w:marTop w:val="0"/>
      <w:marBottom w:val="0"/>
      <w:divBdr>
        <w:top w:val="none" w:sz="0" w:space="0" w:color="auto"/>
        <w:left w:val="none" w:sz="0" w:space="0" w:color="auto"/>
        <w:bottom w:val="none" w:sz="0" w:space="0" w:color="auto"/>
        <w:right w:val="none" w:sz="0" w:space="0" w:color="auto"/>
      </w:divBdr>
    </w:div>
    <w:div w:id="1148791465">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730942">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6EEFFE8D-67F4-4A1D-9BEA-7D6A3D224D29}">
  <ds:schemaRefs>
    <ds:schemaRef ds:uri="http://schemas.openxmlformats.org/officeDocument/2006/bibliography"/>
  </ds:schemaRefs>
</ds:datastoreItem>
</file>

<file path=customXml/itemProps2.xml><?xml version="1.0" encoding="utf-8"?>
<ds:datastoreItem xmlns:ds="http://schemas.openxmlformats.org/officeDocument/2006/customXml" ds:itemID="{A68A434B-A648-4266-98DD-37C10F4B9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2160</Words>
  <Characters>11453</Characters>
  <Application>Microsoft Office Word</Application>
  <DocSecurity>0</DocSecurity>
  <Lines>95</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Berggren, Anders</cp:lastModifiedBy>
  <cp:revision>2</cp:revision>
  <cp:lastPrinted>2017-08-08T10:03:00Z</cp:lastPrinted>
  <dcterms:created xsi:type="dcterms:W3CDTF">2019-02-14T18:26:00Z</dcterms:created>
  <dcterms:modified xsi:type="dcterms:W3CDTF">2019-02-14T18:26:00Z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